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7 -->
  <w:body>
    <w:tbl>
      <w:tblPr>
        <w:tblStyle w:val="TableGrid"/>
        <w:tblW w:w="0" w:type="auto"/>
        <w:tblLook w:val="04A0"/>
      </w:tblPr>
      <w:tblGrid>
        <w:gridCol w:w="9350"/>
      </w:tblGrid>
      <w:tr w:rsidTr="00BA0BC4">
        <w:tblPrEx>
          <w:tblW w:w="0" w:type="auto"/>
          <w:tblLook w:val="04A0"/>
        </w:tblPrEx>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684"/>
              <w:gridCol w:w="2878"/>
              <w:gridCol w:w="4562"/>
            </w:tblGrid>
            <w:tr w:rsidTr="000F4A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684" w:type="dxa"/>
                </w:tcPr>
                <w:p w:rsidR="00BA1B9C" w:rsidP="00F05E02">
                  <w:pPr>
                    <w:rPr>
                      <w:b/>
                      <w:bCs/>
                    </w:rPr>
                  </w:pPr>
                  <w:r w:rsidRPr="003872E5">
                    <w:rPr>
                      <w:b/>
                      <w:bCs/>
                    </w:rPr>
                    <w:t>MEETING DATE:</w:t>
                  </w:r>
                </w:p>
              </w:tc>
              <w:tc>
                <w:tcPr>
                  <w:tcW w:w="2878" w:type="dxa"/>
                </w:tcPr>
                <w:p w:rsidR="00BA1B9C" w:rsidP="00821D36">
                  <w:pPr>
                    <w:rPr>
                      <w:b/>
                      <w:bCs/>
                    </w:rPr>
                  </w:pPr>
                  <w:sdt>
                    <w:sdtPr>
                      <w:rPr>
                        <w:rStyle w:val="Bold"/>
                      </w:rPr>
                      <w:alias w:val="MeetingDateDisplay"/>
                      <w:tag w:val="MeetingDateDisplay"/>
                      <w:id w:val="1512410857"/>
                      <w:placeholder>
                        <w:docPart w:val="9DB9D7917BA640F1805B05353A5D5A4A"/>
                      </w:placeholder>
                      <w:text/>
                    </w:sdtPr>
                    <w:sdtEndPr>
                      <w:rPr>
                        <w:rStyle w:val="Bold"/>
                      </w:rPr>
                    </w:sdtEndPr>
                    <w:sdtContent>
                      <w:r w:rsidR="00441596">
                        <w:t xml:space="preserve">September </w:t>
                      </w:r>
                      <w:r w:rsidR="00821D36">
                        <w:t>21</w:t>
                      </w:r>
                      <w:r w:rsidR="00441596">
                        <w:t>, 2021</w:t>
                      </w:r>
                    </w:sdtContent>
                  </w:sdt>
                </w:p>
              </w:tc>
              <w:tc>
                <w:tcPr>
                  <w:tcW w:w="4562" w:type="dxa"/>
                </w:tcPr>
                <w:p w:rsidR="00BA1B9C" w:rsidP="00F067C0">
                  <w:pPr>
                    <w:rPr>
                      <w:b/>
                      <w:bCs/>
                    </w:rPr>
                  </w:pPr>
                  <w:r w:rsidRPr="003872E5">
                    <w:rPr>
                      <w:b/>
                      <w:bCs/>
                    </w:rPr>
                    <w:t xml:space="preserve">ITEM NUMBER: </w:t>
                  </w:r>
                  <w:sdt>
                    <w:sdtPr>
                      <w:rPr>
                        <w:bCs/>
                      </w:rPr>
                      <w:alias w:val="SectionNumber"/>
                      <w:tag w:val="SectionNumber"/>
                      <w:id w:val="1827017200"/>
                      <w:placeholder>
                        <w:docPart w:val="35CB25CD5CC244AEB245FF230F5BF021"/>
                      </w:placeholder>
                      <w:text/>
                    </w:sdtPr>
                    <w:sdtContent>
                      <w:r w:rsidRPr="00F067C0" w:rsidR="00F067C0">
                        <w:rPr>
                          <w:bCs/>
                        </w:rPr>
                        <w:t>6.</w:t>
                      </w:r>
                    </w:sdtContent>
                  </w:sdt>
                  <w:r w:rsidRPr="003872E5">
                    <w:rPr>
                      <w:b/>
                      <w:bCs/>
                    </w:rPr>
                    <w:t>{{item.number}}</w:t>
                  </w:r>
                </w:p>
              </w:tc>
            </w:tr>
          </w:tbl>
          <w:p w:rsidR="00BA1B9C" w:rsidP="00F05E02">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954"/>
              <w:gridCol w:w="2691"/>
              <w:gridCol w:w="4479"/>
            </w:tblGrid>
            <w:tr w:rsidTr="000F4A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1954" w:type="dxa"/>
                </w:tcPr>
                <w:p w:rsidR="00BA1B9C" w:rsidP="00F05E02">
                  <w:pPr>
                    <w:rPr>
                      <w:b/>
                      <w:bCs/>
                    </w:rPr>
                  </w:pPr>
                  <w:r w:rsidRPr="003872E5">
                    <w:rPr>
                      <w:b/>
                      <w:bCs/>
                    </w:rPr>
                    <w:t>SECOND READING:</w:t>
                  </w:r>
                </w:p>
              </w:tc>
              <w:tc>
                <w:tcPr>
                  <w:tcW w:w="2691" w:type="dxa"/>
                </w:tcPr>
                <w:p w:rsidR="00BA1B9C" w:rsidP="00F05E02">
                  <w:pPr>
                    <w:rPr>
                      <w:b/>
                      <w:bCs/>
                    </w:rPr>
                  </w:pPr>
                  <w:sdt>
                    <w:sdtPr>
                      <w:rPr>
                        <w:b/>
                        <w:bCs/>
                      </w:rPr>
                      <w:alias w:val="SecondDate"/>
                      <w:tag w:val="SecondDate"/>
                      <w:id w:val="394705188"/>
                      <w:placeholder>
                        <w:docPart w:val="DCA6B3300535428DB6B2EAEE39A806BF"/>
                      </w:placeholder>
                      <w:text/>
                    </w:sdtPr>
                    <w:sdtContent/>
                  </w:sdt>
                </w:p>
              </w:tc>
              <w:tc>
                <w:tcPr>
                  <w:tcW w:w="4479" w:type="dxa"/>
                </w:tcPr>
                <w:p w:rsidR="00BA1B9C" w:rsidP="006F0FA3">
                  <w:pPr>
                    <w:rPr>
                      <w:b/>
                      <w:bCs/>
                    </w:rPr>
                  </w:pPr>
                  <w:r>
                    <w:rPr>
                      <w:b/>
                      <w:bCs/>
                    </w:rPr>
                    <w:t>{{customfields.ResoOrdNumber}}</w:t>
                  </w:r>
                </w:p>
              </w:tc>
            </w:tr>
          </w:tbl>
          <w:p w:rsidR="00BA0BC4" w:rsidRPr="003872E5" w:rsidP="00F067C0">
            <w:pPr>
              <w:rPr>
                <w:b/>
                <w:bCs/>
              </w:rPr>
            </w:pPr>
            <w:r w:rsidRPr="003872E5">
              <w:rPr>
                <w:b/>
                <w:bCs/>
              </w:rPr>
              <w:br/>
              <w:t>TYPE OF ITEM:</w:t>
            </w:r>
            <w:r w:rsidR="003872E5">
              <w:rPr>
                <w:b/>
                <w:bCs/>
              </w:rPr>
              <w:t xml:space="preserve"> </w:t>
            </w:r>
            <w:r w:rsidRPr="003872E5">
              <w:rPr>
                <w:b/>
                <w:bCs/>
              </w:rPr>
              <w:br/>
            </w:r>
            <w:r w:rsidRPr="003872E5">
              <w:rPr>
                <w:b/>
                <w:bCs/>
              </w:rPr>
              <w:br/>
              <w:t>PRESENTED BY:</w:t>
            </w:r>
            <w:r w:rsidR="00204801">
              <w:rPr>
                <w:b/>
                <w:bCs/>
              </w:rPr>
              <w:br/>
            </w:r>
            <w:sdt>
              <w:sdtPr>
                <w:rPr>
                  <w:b/>
                  <w:bCs/>
                </w:rPr>
                <w:alias w:val="PresentedBy"/>
                <w:tag w:val="PresentedBy"/>
                <w:id w:val="-1697836756"/>
                <w:placeholder>
                  <w:docPart w:val="DefaultPlaceholder_-1854013440"/>
                </w:placeholder>
                <w:richText/>
              </w:sdtPr>
              <w:sdtContent>
                <w:r>
                  <w:t>Harold Dominguez, City Manager's Office, Harold.Dominguez@longmontcolorado.gov</w:t>
                </w:r>
                <w:r>
                  <w:br/>
                  <w:t>Jim Golden, Finance Administration, Jim.Golden@longmontcolorado.gov</w:t>
                </w:r>
                <w:r>
                  <w:br/>
                  <w:t>Teresa Molloy, Budget, Teresa.Molloy@longmontcolorado.gov</w:t>
                </w:r>
                <w:r>
                  <w:br/>
                  <w:t>Other City Staff</w:t>
                </w:r>
              </w:sdtContent>
            </w:sdt>
            <w:r w:rsidR="00656B57">
              <w:rPr>
                <w:b/>
                <w:bCs/>
              </w:rPr>
              <w:t xml:space="preserve"> </w:t>
            </w:r>
          </w:p>
        </w:tc>
      </w:tr>
    </w:tbl>
    <w:p w:rsidR="00AB09EC"/>
    <w:tbl>
      <w:tblPr>
        <w:tblStyle w:val="TableGrid"/>
        <w:tblW w:w="0" w:type="auto"/>
        <w:tblLook w:val="04A0"/>
      </w:tblPr>
      <w:tblGrid>
        <w:gridCol w:w="9350"/>
      </w:tblGrid>
      <w:tr w:rsidTr="0062343A">
        <w:tblPrEx>
          <w:tblW w:w="0" w:type="auto"/>
          <w:tblLook w:val="04A0"/>
        </w:tblPrEx>
        <w:tc>
          <w:tcPr>
            <w:tcW w:w="9350" w:type="dxa"/>
            <w:tcMar>
              <w:left w:w="115" w:type="dxa"/>
              <w:right w:w="0" w:type="dxa"/>
            </w:tcMar>
          </w:tcPr>
          <w:p w:rsidR="00CE23BD" w:rsidP="00882118">
            <w:pPr>
              <w:rPr>
                <w:b/>
                <w:bCs/>
              </w:rPr>
            </w:pPr>
            <w:r w:rsidRPr="003872E5">
              <w:rPr>
                <w:b/>
                <w:bCs/>
              </w:rPr>
              <w:t>SUBJECT/AGENDA TITLE:</w:t>
            </w:r>
          </w:p>
          <w:p w:rsidR="00882118" w:rsidP="00882118">
            <w:sdt>
              <w:sdtPr>
                <w:alias w:val="item.title"/>
                <w:tag w:val="item.title"/>
                <w:id w:val="3876962"/>
                <w:placeholder>
                  <w:docPart w:val="AA11BB3F829D4A3F9D9FE6608146A1BF"/>
                </w:placeholder>
                <w:richText/>
              </w:sdtPr>
              <w:sdtContent>
                <w:r w:rsidR="00441596">
                  <w:t>2022</w:t>
                </w:r>
                <w:r w:rsidR="005918E4">
                  <w:t xml:space="preserve"> Budget Presentation</w:t>
                </w:r>
              </w:sdtContent>
            </w:sdt>
          </w:p>
        </w:tc>
      </w:tr>
    </w:tbl>
    <w:p w:rsidR="00882118"/>
    <w:tbl>
      <w:tblPr>
        <w:tblStyle w:val="TableGrid"/>
        <w:tblW w:w="0" w:type="auto"/>
        <w:tblLook w:val="04A0"/>
      </w:tblPr>
      <w:tblGrid>
        <w:gridCol w:w="9350"/>
      </w:tblGrid>
      <w:tr w:rsidTr="0060117A">
        <w:tblPrEx>
          <w:tblW w:w="0" w:type="auto"/>
          <w:tblLook w:val="04A0"/>
        </w:tblPrEx>
        <w:tc>
          <w:tcPr>
            <w:tcW w:w="9350" w:type="dxa"/>
            <w:tcMar>
              <w:left w:w="115" w:type="dxa"/>
              <w:right w:w="0" w:type="dxa"/>
            </w:tcMar>
          </w:tcPr>
          <w:p w:rsidR="00CE23BD" w:rsidP="00882118">
            <w:pPr>
              <w:widowControl w:val="0"/>
              <w:overflowPunct w:val="0"/>
              <w:autoSpaceDE w:val="0"/>
              <w:autoSpaceDN w:val="0"/>
              <w:adjustRightInd w:val="0"/>
              <w:textAlignment w:val="baseline"/>
              <w:rPr>
                <w:b/>
                <w:bCs/>
              </w:rPr>
            </w:pPr>
            <w:r w:rsidRPr="003872E5">
              <w:rPr>
                <w:b/>
                <w:bCs/>
              </w:rPr>
              <w:t>EXECUTIVE SUMMARY:</w:t>
            </w:r>
          </w:p>
          <w:sdt>
            <w:sdtPr>
              <w:alias w:val="ExecutiveSummary"/>
              <w:tag w:val="ExecutiveSummary"/>
              <w:id w:val="-833139756"/>
              <w:placeholder>
                <w:docPart w:val="CDD429A2F6BC483CA0B961D2BD577D1B"/>
              </w:placeholder>
              <w:richText/>
            </w:sdtPr>
            <w:sdtContent>
              <w:p w:rsidR="009F5654" w:rsidP="009F5654">
                <w:r>
                  <w:t>The Proposed 2022</w:t>
                </w:r>
                <w:r w:rsidR="00EC627A">
                  <w:t xml:space="preserve"> Budget presentation </w:t>
                </w:r>
                <w:r w:rsidR="006A6898">
                  <w:t xml:space="preserve">focus on </w:t>
                </w:r>
                <w:r w:rsidR="00EC627A">
                  <w:t xml:space="preserve">follow up from prior council meetings, the new positions being added to the 2022 budget, </w:t>
                </w:r>
                <w:r w:rsidR="00C9755D">
                  <w:t>one time expenses in the General Fund and the Public Safety Fund, incremental development revenue, early childhood education, human service agency funding, affordable housing, recreation budget, library, social equity, sustainability, the LDDA budget, the use of the marijuana tax, renewable energy portfolio tools</w:t>
                </w:r>
                <w:r w:rsidR="00EF32DF">
                  <w:t>,</w:t>
                </w:r>
                <w:r w:rsidR="00C9755D">
                  <w:t xml:space="preserve"> and</w:t>
                </w:r>
                <w:r w:rsidR="00EF32DF">
                  <w:t xml:space="preserve"> a </w:t>
                </w:r>
                <w:r w:rsidR="00C9755D">
                  <w:t xml:space="preserve">NextLight </w:t>
                </w:r>
                <w:r w:rsidR="00EF32DF">
                  <w:t>budget summary</w:t>
                </w:r>
                <w:r w:rsidR="00C9755D">
                  <w:t xml:space="preserve">.  </w:t>
                </w:r>
                <w:r w:rsidRPr="00417BBA" w:rsidR="006A6898">
                  <w:t>This communication includes a brief overview</w:t>
                </w:r>
                <w:r w:rsidR="006A6898">
                  <w:t xml:space="preserve"> of each topic and has been consecutively numbered.  </w:t>
                </w:r>
                <w:r w:rsidR="00866259">
                  <w:t>T</w:t>
                </w:r>
                <w:r w:rsidR="006A6898">
                  <w:t xml:space="preserve">his information will be available on </w:t>
                </w:r>
                <w:r>
                  <w:t>the City’s website with the 2022</w:t>
                </w:r>
                <w:r w:rsidR="006A6898">
                  <w:t xml:space="preserve"> proposed budget documents should we need to refer back to any information from this communication as we continue to move through the</w:t>
                </w:r>
                <w:r>
                  <w:t xml:space="preserve"> weekly 2022</w:t>
                </w:r>
                <w:r w:rsidR="006A6898">
                  <w:t xml:space="preserve"> budget presentations.</w:t>
                </w:r>
              </w:p>
              <w:p w:rsidR="00882118" w:rsidRPr="006A6898" w:rsidP="009F5654">
                <w:pPr>
                  <w:rPr>
                    <w:rFonts w:ascii="Calibri" w:hAnsi="Calibri"/>
                    <w:color w:val="1F497D"/>
                  </w:rPr>
                </w:pPr>
                <w:r>
                  <w:fldChar w:fldCharType="begin"/>
                </w:r>
                <w:r>
                  <w:instrText xml:space="preserve"> HYPERLINK "https://www.longmontcolorado.gov/departments/departments-e-m/finance/budget-office/2022-budget-documents" </w:instrText>
                </w:r>
                <w:r>
                  <w:fldChar w:fldCharType="separate"/>
                </w:r>
                <w:r w:rsidRPr="00AF5196" w:rsidR="00A62A8C">
                  <w:rPr>
                    <w:rStyle w:val="Hyperlink"/>
                  </w:rPr>
                  <w:t>https://www.longmontcolorado.gov/departments/departments-e-m/finance/budget-office/2022-budget-documents</w:t>
                </w:r>
                <w:r>
                  <w:fldChar w:fldCharType="end"/>
                </w:r>
              </w:p>
            </w:sdtContent>
          </w:sdt>
        </w:tc>
      </w:tr>
    </w:tbl>
    <w:p w:rsidR="003872E5"/>
    <w:tbl>
      <w:tblPr>
        <w:tblStyle w:val="TableGrid"/>
        <w:tblW w:w="0" w:type="auto"/>
        <w:tblLook w:val="04A0"/>
      </w:tblPr>
      <w:tblGrid>
        <w:gridCol w:w="9350"/>
      </w:tblGrid>
      <w:tr w:rsidTr="00E6007B">
        <w:tblPrEx>
          <w:tblW w:w="0" w:type="auto"/>
          <w:tblLook w:val="04A0"/>
        </w:tblPrEx>
        <w:tc>
          <w:tcPr>
            <w:tcW w:w="9350" w:type="dxa"/>
            <w:tcMar>
              <w:left w:w="115" w:type="dxa"/>
              <w:right w:w="0" w:type="dxa"/>
            </w:tcMar>
          </w:tcPr>
          <w:p w:rsidR="00E457F1" w:rsidP="00882118">
            <w:pPr>
              <w:rPr>
                <w:b/>
                <w:bCs/>
              </w:rPr>
            </w:pPr>
            <w:r w:rsidRPr="00AB09EC">
              <w:rPr>
                <w:b/>
                <w:bCs/>
              </w:rPr>
              <w:t>COUNCIL OPTIONS:</w:t>
            </w:r>
          </w:p>
          <w:p w:rsidR="00882118" w:rsidP="00882118">
            <w:sdt>
              <w:sdtPr>
                <w:alias w:val="CouncilOptions"/>
                <w:tag w:val="CouncilOptions"/>
                <w:id w:val="117270175"/>
                <w:placeholder>
                  <w:docPart w:val="8F3EBCCCAB8A4C0BA964C774AA6F6B43"/>
                </w:placeholder>
                <w:showingPlcHdr/>
                <w:richText/>
              </w:sdtPr>
              <w:sdtContent>
                <w:r w:rsidRPr="00F430C8" w:rsidR="006A6898">
                  <w:rPr>
                    <w:rStyle w:val="PlaceholderText"/>
                  </w:rPr>
                  <w:t>Click or tap here to enter text.</w:t>
                </w:r>
              </w:sdtContent>
            </w:sdt>
          </w:p>
        </w:tc>
      </w:tr>
    </w:tbl>
    <w:p w:rsidR="003872E5"/>
    <w:tbl>
      <w:tblPr>
        <w:tblStyle w:val="TableGrid"/>
        <w:tblW w:w="0" w:type="auto"/>
        <w:tblLook w:val="04A0"/>
      </w:tblPr>
      <w:tblGrid>
        <w:gridCol w:w="9350"/>
      </w:tblGrid>
      <w:tr w:rsidTr="006D7004">
        <w:tblPrEx>
          <w:tblW w:w="0" w:type="auto"/>
          <w:tblLook w:val="04A0"/>
        </w:tblPrEx>
        <w:tc>
          <w:tcPr>
            <w:tcW w:w="9350" w:type="dxa"/>
            <w:tcMar>
              <w:left w:w="115" w:type="dxa"/>
              <w:right w:w="0" w:type="dxa"/>
            </w:tcMar>
          </w:tcPr>
          <w:p w:rsidR="00CE23BD" w:rsidP="00882118">
            <w:pPr>
              <w:rPr>
                <w:b/>
                <w:bCs/>
              </w:rPr>
            </w:pPr>
            <w:r w:rsidRPr="00AB09EC">
              <w:rPr>
                <w:b/>
                <w:bCs/>
              </w:rPr>
              <w:t>RECOMMENDED OPTIONS:</w:t>
            </w:r>
          </w:p>
          <w:p w:rsidR="00882118" w:rsidP="00882118">
            <w:sdt>
              <w:sdtPr>
                <w:alias w:val="item.staffrecommendation"/>
                <w:tag w:val="item.staffrecommendation"/>
                <w:id w:val="-357895589"/>
                <w:placeholder>
                  <w:docPart w:val="F7B05EFF995D4430B4CF99F2B7C97767"/>
                </w:placeholder>
                <w:richText/>
              </w:sdtPr>
              <w:sdtContent/>
            </w:sdt>
          </w:p>
        </w:tc>
      </w:tr>
    </w:tbl>
    <w:p w:rsidR="003872E5"/>
    <w:tbl>
      <w:tblPr>
        <w:tblStyle w:val="TableGrid"/>
        <w:tblW w:w="0" w:type="auto"/>
        <w:tblLook w:val="04A0"/>
      </w:tblPr>
      <w:tblGrid>
        <w:gridCol w:w="9350"/>
      </w:tblGrid>
      <w:tr w:rsidTr="003872E5">
        <w:tblPrEx>
          <w:tblW w:w="0" w:type="auto"/>
          <w:tblLook w:val="04A0"/>
        </w:tblPrEx>
        <w:tc>
          <w:tcPr>
            <w:tcW w:w="9350" w:type="dxa"/>
          </w:tcPr>
          <w:p w:rsidR="00CE23BD">
            <w:r w:rsidRPr="00AB09EC">
              <w:rPr>
                <w:b/>
                <w:bCs/>
              </w:rPr>
              <w:t>FISCAL IMPACT &amp; FUND SOURCE FOR RECOMMENDED ACTION:</w:t>
            </w:r>
          </w:p>
          <w:p w:rsidR="003872E5">
            <w:sdt>
              <w:sdtPr>
                <w:alias w:val="FiscalImpact"/>
                <w:tag w:val="FiscalImpact"/>
                <w:id w:val="1767966641"/>
                <w:placeholder>
                  <w:docPart w:val="AE5ADA41580E4C70A697A53E2FA677D6"/>
                </w:placeholder>
                <w:richText/>
              </w:sdtPr>
              <w:sdtContent/>
            </w:sdt>
          </w:p>
        </w:tc>
      </w:tr>
    </w:tbl>
    <w:p w:rsidR="003872E5"/>
    <w:tbl>
      <w:tblPr>
        <w:tblStyle w:val="TableGrid"/>
        <w:tblW w:w="0" w:type="auto"/>
        <w:tblLook w:val="04A0"/>
      </w:tblPr>
      <w:tblGrid>
        <w:gridCol w:w="9350"/>
      </w:tblGrid>
      <w:tr w:rsidTr="003872E5">
        <w:tblPrEx>
          <w:tblW w:w="0" w:type="auto"/>
          <w:tblLook w:val="04A0"/>
        </w:tblPrEx>
        <w:tc>
          <w:tcPr>
            <w:tcW w:w="9350" w:type="dxa"/>
          </w:tcPr>
          <w:p w:rsidR="00821D36" w:rsidP="00821D36">
            <w:pPr>
              <w:rPr>
                <w:b/>
                <w:bCs/>
              </w:rPr>
            </w:pPr>
            <w:r w:rsidRPr="00AB09EC">
              <w:rPr>
                <w:b/>
                <w:bCs/>
              </w:rPr>
              <w:t>BACKGROUND AND ISSUE ANALYSIS:</w:t>
            </w:r>
          </w:p>
          <w:sdt>
            <w:sdtPr>
              <w:alias w:val="Background"/>
              <w:tag w:val="Background"/>
              <w:id w:val="-652376993"/>
              <w:placeholder>
                <w:docPart w:val="188610B45CE740C78143A0E9940F3C93"/>
              </w:placeholder>
              <w:richText/>
            </w:sdtPr>
            <w:sdtContent>
              <w:p w:rsidR="00821D36" w:rsidP="00821D36">
                <w:r>
                  <w:t>Citizens wishing to view the 2022 Proposed Budget, the 2022-2026 Proposed Capital Improvement Program or the 2022 Proposed Pay Plan can access these documents on the City’s website at the following location:</w:t>
                </w:r>
              </w:p>
              <w:p w:rsidR="00821D36" w:rsidRPr="00F66427" w:rsidP="00821D36">
                <w:pPr>
                  <w:rPr>
                    <w:color w:val="0000FF"/>
                    <w:u w:val="single"/>
                  </w:rPr>
                </w:pPr>
                <w:r>
                  <w:fldChar w:fldCharType="begin"/>
                </w:r>
                <w:r>
                  <w:instrText xml:space="preserve"> HYPERLINK "https://www.longmontcolorado.gov/departments/departments-e-m/finance/budget-office/2022-budget-documents" </w:instrText>
                </w:r>
                <w:r>
                  <w:fldChar w:fldCharType="separate"/>
                </w:r>
                <w:r w:rsidRPr="006F02D8">
                  <w:rPr>
                    <w:rStyle w:val="Hyperlink"/>
                  </w:rPr>
                  <w:t>https://www.longmontcolorado.gov/departments/departments-e-m/finance/budget-office/2022-budget-documents</w:t>
                </w:r>
                <w:r>
                  <w:fldChar w:fldCharType="end"/>
                </w:r>
              </w:p>
              <w:p w:rsidR="00F66427" w:rsidP="00821D36"/>
              <w:p w:rsidR="00F70A44" w:rsidRPr="00292475" w:rsidP="00F70A44">
                <w:pPr>
                  <w:rPr>
                    <w:b/>
                  </w:rPr>
                </w:pPr>
                <w:r w:rsidRPr="00292475">
                  <w:rPr>
                    <w:b/>
                  </w:rPr>
                  <w:t xml:space="preserve">FOLLOW-UP FROM </w:t>
                </w:r>
                <w:r>
                  <w:rPr>
                    <w:b/>
                  </w:rPr>
                  <w:t>AUGUST 31</w:t>
                </w:r>
                <w:r w:rsidRPr="00292475">
                  <w:rPr>
                    <w:b/>
                  </w:rPr>
                  <w:t xml:space="preserve"> MEETING</w:t>
                </w:r>
              </w:p>
              <w:p w:rsidR="005E01E1" w:rsidRPr="00EC627A" w:rsidP="00821D36">
                <w:pPr>
                  <w:rPr>
                    <w:b/>
                    <w:i/>
                  </w:rPr>
                </w:pPr>
                <w:r w:rsidRPr="00EC627A">
                  <w:rPr>
                    <w:b/>
                    <w:i/>
                  </w:rPr>
                  <w:t>Concept Plans for Sandstone Ranch and Sunset Campus</w:t>
                </w:r>
              </w:p>
              <w:p w:rsidR="001D5726" w:rsidP="001D5726">
                <w:pPr>
                  <w:rPr>
                    <w:rFonts w:ascii="Calibri" w:hAnsi="Calibri"/>
                    <w:color w:val="1F497D"/>
                  </w:rPr>
                </w:pPr>
                <w:r w:rsidRPr="00EC627A">
                  <w:t xml:space="preserve">Councilmember Peck </w:t>
                </w:r>
                <w:r w:rsidRPr="00EC627A" w:rsidR="00EC627A">
                  <w:t xml:space="preserve">asked if the concept plans for these </w:t>
                </w:r>
                <w:r w:rsidR="007047C0">
                  <w:t xml:space="preserve">are </w:t>
                </w:r>
                <w:r w:rsidRPr="00EC627A" w:rsidR="00EC627A">
                  <w:t>on the City’s website</w:t>
                </w:r>
                <w:r w:rsidRPr="00EC627A">
                  <w:t xml:space="preserve">. </w:t>
                </w:r>
                <w:r w:rsidRPr="00EC627A" w:rsidR="00EC627A">
                  <w:t xml:space="preserve"> During the meeting David Bell responded that since the Sandstone Ranch</w:t>
                </w:r>
                <w:r>
                  <w:t xml:space="preserve"> (SSR)</w:t>
                </w:r>
                <w:r w:rsidRPr="00EC627A" w:rsidR="00EC627A">
                  <w:t xml:space="preserve"> was an approved plan it is out on the web but indicated that he would check on that to make sure</w:t>
                </w:r>
                <w:r w:rsidR="00547F9A">
                  <w:t>.  T</w:t>
                </w:r>
                <w:r w:rsidRPr="00EC627A" w:rsidR="00EC627A">
                  <w:t xml:space="preserve">he Sunset Campus is not complete and therefore not on the </w:t>
                </w:r>
                <w:r w:rsidRPr="001D5726" w:rsidR="00EC627A">
                  <w:t xml:space="preserve">web yet.  Upon further review the SSR master plan </w:t>
                </w:r>
                <w:bookmarkStart w:id="0" w:name="_GoBack"/>
                <w:bookmarkEnd w:id="0"/>
                <w:r w:rsidRPr="001D5726" w:rsidR="0068554C">
                  <w:t xml:space="preserve">was </w:t>
                </w:r>
                <w:r w:rsidRPr="001D5726" w:rsidR="00EC627A">
                  <w:t>not available on the City’s website</w:t>
                </w:r>
                <w:r w:rsidRPr="001D5726" w:rsidR="0068554C">
                  <w:t xml:space="preserve"> at that point</w:t>
                </w:r>
                <w:r w:rsidRPr="001D5726" w:rsidR="00EC627A">
                  <w:t xml:space="preserve">, however staff </w:t>
                </w:r>
                <w:r w:rsidRPr="001D5726" w:rsidR="0068554C">
                  <w:t>has now made it available and it can be found at the following:</w:t>
                </w:r>
                <w:r w:rsidRPr="00EC627A" w:rsidR="00EC627A">
                  <w:t xml:space="preserve"> </w:t>
                </w:r>
                <w:r>
                  <w:t xml:space="preserve"> </w:t>
                </w:r>
                <w:r>
                  <w:fldChar w:fldCharType="begin"/>
                </w:r>
                <w:r>
                  <w:instrText xml:space="preserve"> HYPERLINK "https://www.longmontcolorado.gov/departments/departments-n-z/parks-open-space-trails/plans-maps-and-reports/-npage-2" </w:instrText>
                </w:r>
                <w:r>
                  <w:fldChar w:fldCharType="separate"/>
                </w:r>
                <w:r>
                  <w:rPr>
                    <w:rStyle w:val="Hyperlink"/>
                  </w:rPr>
                  <w:t>https://www.longmontcolorado.gov/departments/departments-n-z/parks-open-space-trails/plans-maps-and-reports/-npage-2</w:t>
                </w:r>
                <w:r>
                  <w:fldChar w:fldCharType="end"/>
                </w:r>
              </w:p>
              <w:p w:rsidR="00EC627A" w:rsidP="00821D36">
                <w:pPr>
                  <w:rPr>
                    <w:b/>
                    <w:i/>
                  </w:rPr>
                </w:pPr>
              </w:p>
              <w:p w:rsidR="00D36460" w:rsidRPr="00D36460" w:rsidP="00821D36">
                <w:pPr>
                  <w:rPr>
                    <w:b/>
                    <w:i/>
                  </w:rPr>
                </w:pPr>
                <w:r w:rsidRPr="00D36460">
                  <w:rPr>
                    <w:b/>
                    <w:i/>
                  </w:rPr>
                  <w:t>TRP094, Railroad Quiet Zones</w:t>
                </w:r>
              </w:p>
              <w:p w:rsidR="00824371" w:rsidRPr="00D36460" w:rsidP="00821D36">
                <w:r w:rsidRPr="00D36460">
                  <w:t>Co</w:t>
                </w:r>
                <w:r w:rsidRPr="00D36460" w:rsidR="00D36460">
                  <w:t>u</w:t>
                </w:r>
                <w:r w:rsidRPr="00D36460">
                  <w:t>ncilmember Waters</w:t>
                </w:r>
                <w:r w:rsidRPr="00D36460" w:rsidR="00D36460">
                  <w:t xml:space="preserve"> requested information regarding the scheduling/sequencing for this project.</w:t>
                </w:r>
              </w:p>
              <w:p w:rsidR="00F70A44" w:rsidP="00821D36"/>
              <w:p w:rsidR="00D36460" w:rsidRPr="00D36460" w:rsidP="00D36460">
                <w:r w:rsidRPr="00D36460">
                  <w:t>City staff continues to work with BNSF in order to execute construction and maintenance agreements for each crossing improvement. This step has taken longer than initially anticipated and it has impacted the overall project schedule. As it stands now, we are doing everything we can to construct improvements at the following crossings as follows:</w:t>
                </w:r>
              </w:p>
              <w:p w:rsidR="000B0545" w:rsidP="000B0545"/>
              <w:p w:rsidR="00D36460" w:rsidP="000B0545">
                <w:pPr>
                  <w:ind w:left="720"/>
                </w:pPr>
                <w:r w:rsidRPr="00F8496B">
                  <w:rPr>
                    <w:noProof/>
                  </w:rPr>
                  <w:drawing>
                    <wp:inline distT="0" distB="0" distL="0" distR="0">
                      <wp:extent cx="3942715" cy="16090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8754"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942715" cy="1609090"/>
                              </a:xfrm>
                              <a:prstGeom prst="rect">
                                <a:avLst/>
                              </a:prstGeom>
                              <a:noFill/>
                              <a:ln>
                                <a:noFill/>
                              </a:ln>
                            </pic:spPr>
                          </pic:pic>
                        </a:graphicData>
                      </a:graphic>
                    </wp:inline>
                  </w:drawing>
                </w:r>
                <w:r w:rsidRPr="00D36460">
                  <w:t>  </w:t>
                </w:r>
              </w:p>
              <w:p w:rsidR="000B0545" w:rsidP="00D36460"/>
              <w:p w:rsidR="00D36460" w:rsidRPr="00D36460" w:rsidP="00D36460">
                <w:r w:rsidRPr="00D36460">
                  <w:t xml:space="preserve">In order to implement a quiet zone in the historic east side neighborhood, all crossings between and including 3rd Avenue and 9th Avenue must be improved. Some crossings can be constructed as standalone quiet zones, as they are more than ¼ mile from any adjacent crossings – 17th Avenue is an example of this. </w:t>
                </w:r>
              </w:p>
              <w:p w:rsidR="00D36460" w:rsidRPr="00D36460" w:rsidP="00D36460">
                <w:r w:rsidRPr="00D36460">
                  <w:t> </w:t>
                </w:r>
              </w:p>
              <w:p w:rsidR="00D36460" w:rsidP="00D36460">
                <w:r w:rsidRPr="00D36460">
                  <w:t>There are issues that may impact the anticipated construction schedule shown above</w:t>
                </w:r>
                <w:r>
                  <w:t>:</w:t>
                </w:r>
              </w:p>
              <w:p w:rsidR="00D36460" w:rsidRPr="00D36460" w:rsidP="00D36460">
                <w:r w:rsidRPr="00D36460">
                  <w:t xml:space="preserve"> </w:t>
                </w:r>
              </w:p>
              <w:p w:rsidR="00D36460" w:rsidRPr="00D36460" w:rsidP="00D36460">
                <w:r w:rsidRPr="00D36460">
                  <w:rPr>
                    <w:u w:val="single"/>
                  </w:rPr>
                  <w:t>Coffman Street</w:t>
                </w:r>
                <w:r>
                  <w:t xml:space="preserve">: </w:t>
                </w:r>
                <w:r w:rsidRPr="00D36460">
                  <w:t>The City is currently undertaking design of the Coffman Street corridor as a transit facility. This work does impact the design of the Coffman Street rail crossing and is dependent on work being completed with that project.</w:t>
                </w:r>
              </w:p>
              <w:p w:rsidR="00D36460" w:rsidRPr="00D36460" w:rsidP="00D36460">
                <w:r w:rsidRPr="00D36460">
                  <w:t> </w:t>
                </w:r>
              </w:p>
              <w:p w:rsidR="00D36460" w:rsidRPr="00D36460" w:rsidP="00D36460">
                <w:r w:rsidRPr="00D36460">
                  <w:rPr>
                    <w:u w:val="single"/>
                  </w:rPr>
                  <w:t>Sunset Street</w:t>
                </w:r>
                <w:r w:rsidRPr="00D36460">
                  <w:t>:</w:t>
                </w:r>
                <w:r>
                  <w:t xml:space="preserve"> </w:t>
                </w:r>
                <w:r w:rsidRPr="00D36460">
                  <w:t xml:space="preserve">City staff is also currently designing intersection improvements at the intersection of Ken Pratt and Sunset, which will impact the rail crossing. Construction of improvements at this intersection is dependent on that project. </w:t>
                </w:r>
              </w:p>
              <w:p w:rsidR="00D36460" w:rsidRPr="00D36460" w:rsidP="00D36460">
                <w:r w:rsidRPr="00D36460">
                  <w:t> </w:t>
                </w:r>
              </w:p>
              <w:p w:rsidR="00D36460" w:rsidRPr="00D36460" w:rsidP="00D36460">
                <w:r w:rsidRPr="00D36460">
                  <w:rPr>
                    <w:u w:val="single"/>
                  </w:rPr>
                  <w:t>Hover Street</w:t>
                </w:r>
                <w:r w:rsidRPr="00D36460">
                  <w:t>:</w:t>
                </w:r>
                <w:r>
                  <w:t xml:space="preserve"> </w:t>
                </w:r>
                <w:r w:rsidRPr="00D36460">
                  <w:t xml:space="preserve">Development near this crossing has committed to providing design and improvements at the Hover Street crossing. Hover could be completed sooner should the developer be able to move forward with improvements sooner than 2024. If the developer decides to delay their project or not proceed, the City would take this project on. </w:t>
                </w:r>
              </w:p>
              <w:p w:rsidR="00D36460" w:rsidRPr="00D36460" w:rsidP="00D36460">
                <w:r w:rsidRPr="00D36460">
                  <w:t> </w:t>
                </w:r>
              </w:p>
              <w:p w:rsidR="00D36460" w:rsidRPr="00D36460" w:rsidP="00D36460">
                <w:r w:rsidRPr="004C711E">
                  <w:rPr>
                    <w:u w:val="single"/>
                  </w:rPr>
                  <w:t>5th Avenue</w:t>
                </w:r>
                <w:r w:rsidRPr="00D36460">
                  <w:t>:</w:t>
                </w:r>
                <w:r w:rsidR="004C711E">
                  <w:t xml:space="preserve"> </w:t>
                </w:r>
                <w:r w:rsidRPr="00D36460">
                  <w:t xml:space="preserve">In terms of the overall quiet zone project, staff anticipates closing the existing at-grade crossing of 5th Avenue. This is consistent with initial messaging and public engagement efforts for this project. A closure of 5th Avenue has been option A to date, as the City anticipates that we will be applying for a new at-grade crossing of Boston Avenue. The City applied for a new crossing at this location approximately 11 years ago, but our application was denied, as we faced opposition from BNSF and RTD. Boston Avenue is now the preferred route for RTD’s Bus Rapid Transit (BRT) service to the transit station at 1st &amp; Main. City staff has also been working with BNSF to determine steps to obtain support for the Boston Avenue crossing. We know that at a minimum, BNSF will oppose our application if we do not propose closing two existing at-grade crossings. 5th Avenue and Terry Street are the two existing crossings with which we anticipate proposing with the Boston Avenue application. If our application is not successful, we anticipate exploring other options for improvements at 5th Avenue. As of now, we have not explored design options for 5th Avenue, other than a closure. </w:t>
                </w:r>
              </w:p>
              <w:p w:rsidR="00D36460" w:rsidRPr="00D36460" w:rsidP="00D36460">
                <w:r w:rsidRPr="00D36460">
                  <w:t> </w:t>
                </w:r>
              </w:p>
              <w:p w:rsidR="00D36460" w:rsidRPr="00D36460" w:rsidP="00D36460">
                <w:r w:rsidRPr="004C711E">
                  <w:rPr>
                    <w:u w:val="single"/>
                  </w:rPr>
                  <w:t>BNSF</w:t>
                </w:r>
                <w:r w:rsidRPr="00D36460">
                  <w:t>:</w:t>
                </w:r>
                <w:r w:rsidR="004C711E">
                  <w:t xml:space="preserve"> </w:t>
                </w:r>
                <w:r w:rsidRPr="00D36460">
                  <w:t xml:space="preserve">BNSF owns the tracks and much of the work is dependent on BNSF. </w:t>
                </w:r>
              </w:p>
              <w:p w:rsidR="00D36460" w:rsidRPr="00D36460" w:rsidP="00D36460">
                <w:r w:rsidRPr="00D36460">
                  <w:t> </w:t>
                </w:r>
              </w:p>
              <w:p w:rsidR="00D36460" w:rsidRPr="00D36460" w:rsidP="00D36460">
                <w:r w:rsidRPr="004C711E">
                  <w:rPr>
                    <w:u w:val="single"/>
                  </w:rPr>
                  <w:t>Materials</w:t>
                </w:r>
                <w:r w:rsidRPr="00D36460">
                  <w:t>:</w:t>
                </w:r>
                <w:r w:rsidR="004C711E">
                  <w:t xml:space="preserve"> </w:t>
                </w:r>
                <w:r w:rsidRPr="00D36460">
                  <w:t>We are currently seeing long lead times on many construction projects that has the potential to impact material availability for this project. We do not yet know if this is a short term supply issue, or if it will continue for a prolonged timeframe.</w:t>
                </w:r>
              </w:p>
              <w:p w:rsidR="00D36460" w:rsidP="00821D36"/>
              <w:p w:rsidR="004C711E" w:rsidRPr="008E1F8B" w:rsidP="00821D36">
                <w:pPr>
                  <w:rPr>
                    <w:b/>
                    <w:i/>
                  </w:rPr>
                </w:pPr>
                <w:r w:rsidRPr="008E1F8B">
                  <w:rPr>
                    <w:b/>
                    <w:i/>
                  </w:rPr>
                  <w:t>Old Town Conservation Overlay Budget Request</w:t>
                </w:r>
              </w:p>
              <w:p w:rsidR="00F70A44" w:rsidP="00821D36">
                <w:r>
                  <w:t>Councilmember Peck</w:t>
                </w:r>
                <w:r>
                  <w:t xml:space="preserve"> asked if th</w:t>
                </w:r>
                <w:r w:rsidR="000B0545">
                  <w:t xml:space="preserve">is budget </w:t>
                </w:r>
                <w:r>
                  <w:t xml:space="preserve">request </w:t>
                </w:r>
                <w:r w:rsidRPr="00EC627A">
                  <w:t xml:space="preserve">could include the Historic West Side Neighborhood in addition to the Historic East Side Neighborhood.  </w:t>
                </w:r>
                <w:r w:rsidRPr="00EC627A">
                  <w:t xml:space="preserve">The original budget request proposed by Planning is intended to include </w:t>
                </w:r>
                <w:r w:rsidRPr="00EC627A">
                  <w:t>both the East and West Side Neighborhoods</w:t>
                </w:r>
                <w:r w:rsidRPr="00EC627A">
                  <w:t>.  No additional funding will be needed to achieve this.</w:t>
                </w:r>
              </w:p>
              <w:p w:rsidR="00F70A44" w:rsidP="00821D36"/>
              <w:p w:rsidR="00603221" w:rsidRPr="00603221" w:rsidP="00821D36">
                <w:pPr>
                  <w:rPr>
                    <w:b/>
                    <w:i/>
                  </w:rPr>
                </w:pPr>
                <w:r w:rsidRPr="00603221">
                  <w:rPr>
                    <w:b/>
                    <w:i/>
                  </w:rPr>
                  <w:t>Library Mosher Fund</w:t>
                </w:r>
              </w:p>
              <w:p w:rsidR="00234468" w:rsidP="00821D36">
                <w:r w:rsidRPr="00603221">
                  <w:t>Councilmember Waters asked for information regarding the Mosher Fund.</w:t>
                </w:r>
              </w:p>
              <w:p w:rsidR="00603221" w:rsidP="00821D36"/>
              <w:p w:rsidR="00603221" w:rsidP="00821D36">
                <w:r>
                  <w:rPr>
                    <w:rFonts w:ascii="Calibri" w:hAnsi="Calibri" w:cs="Calibri"/>
                    <w:color w:val="000000"/>
                  </w:rPr>
                  <w:t>The Mosher fund was a bequest of money dating from 1987 designated for Library purposes</w:t>
                </w:r>
                <w:r w:rsidR="001D5726">
                  <w:rPr>
                    <w:rFonts w:ascii="Calibri" w:hAnsi="Calibri" w:cs="Calibri"/>
                    <w:color w:val="000000"/>
                  </w:rPr>
                  <w:t xml:space="preserve">, </w:t>
                </w:r>
                <w:r w:rsidRPr="001D5726" w:rsidR="001D5726">
                  <w:rPr>
                    <w:rFonts w:ascii="Calibri" w:hAnsi="Calibri" w:cs="Calibri"/>
                    <w:b/>
                    <w:i/>
                    <w:color w:val="000000"/>
                  </w:rPr>
                  <w:t>Attachment I</w:t>
                </w:r>
                <w:r>
                  <w:rPr>
                    <w:rFonts w:ascii="Calibri" w:hAnsi="Calibri" w:cs="Calibri"/>
                    <w:color w:val="000000"/>
                  </w:rPr>
                  <w:t xml:space="preserve">.  </w:t>
                </w:r>
                <w:r w:rsidR="001D5726">
                  <w:rPr>
                    <w:rFonts w:ascii="Calibri" w:hAnsi="Calibri" w:cs="Calibri"/>
                    <w:color w:val="000000"/>
                  </w:rPr>
                  <w:t>As of 12/3</w:t>
                </w:r>
                <w:r w:rsidR="00B77B78">
                  <w:rPr>
                    <w:rFonts w:ascii="Calibri" w:hAnsi="Calibri" w:cs="Calibri"/>
                    <w:color w:val="000000"/>
                  </w:rPr>
                  <w:t>1</w:t>
                </w:r>
                <w:r w:rsidR="001D5726">
                  <w:rPr>
                    <w:rFonts w:ascii="Calibri" w:hAnsi="Calibri" w:cs="Calibri"/>
                    <w:color w:val="000000"/>
                  </w:rPr>
                  <w:t>/20</w:t>
                </w:r>
                <w:r w:rsidR="00B77B78">
                  <w:rPr>
                    <w:rFonts w:ascii="Calibri" w:hAnsi="Calibri" w:cs="Calibri"/>
                    <w:color w:val="000000"/>
                  </w:rPr>
                  <w:t xml:space="preserve"> there is $635,881 in the non-spendable portion and $591,522 in the spendable portion of the fund balance in this fund. </w:t>
                </w:r>
                <w:r>
                  <w:rPr>
                    <w:rFonts w:ascii="Calibri" w:hAnsi="Calibri" w:cs="Calibri"/>
                    <w:color w:val="000000"/>
                  </w:rPr>
                  <w:t>The Library intends to purchase an automated materials handler, also known as an electronic sorter, which automates the check-in and organization of returned Library materials, greatly increasing the speed and efficiency of handling hundreds of thousands of returns each year.  An RFP has been issued to determine the cost of the actual machine, along with any modifications to the physical space where the sorter will be housed.  When the RFP is returned and costs determined, the Library Board will be asked to make a recommendation to Council that the specified amount of money be withdrawn for the purchase of the sorter.  </w:t>
                </w:r>
              </w:p>
              <w:p w:rsidR="00F70A44" w:rsidP="00821D36"/>
              <w:p w:rsidR="001A3075" w:rsidP="00F70A44">
                <w:pPr>
                  <w:rPr>
                    <w:b/>
                  </w:rPr>
                </w:pPr>
                <w:r w:rsidRPr="001A3075">
                  <w:rPr>
                    <w:b/>
                  </w:rPr>
                  <w:t>NEW POSITIONS</w:t>
                </w:r>
              </w:p>
              <w:p w:rsidR="00EC3646" w:rsidRPr="0065306D" w:rsidP="00EC3646">
                <w:pPr>
                  <w:pStyle w:val="NormalWeb"/>
                  <w:tabs>
                    <w:tab w:val="right" w:pos="10080"/>
                  </w:tabs>
                  <w:spacing w:before="0" w:beforeAutospacing="0" w:after="0" w:afterAutospacing="0"/>
                  <w:rPr>
                    <w:rFonts w:ascii="Calibri" w:hAnsi="Calibri" w:cs="Arial"/>
                    <w:color w:val="000000" w:themeColor="text1"/>
                  </w:rPr>
                </w:pPr>
                <w:r w:rsidRPr="0065306D">
                  <w:rPr>
                    <w:rFonts w:ascii="Calibri" w:hAnsi="Calibri" w:cs="Arial"/>
                    <w:color w:val="000000" w:themeColor="text1"/>
                  </w:rPr>
                  <w:t>The proposed budget includes total of 30.0 new FTE being added in this budget: 9.95 in the General Fund, 5.0 in the Public Safety Fund, 3.408 in the Water Fund, 3.18 in the Broadband Fund, 2.04 in the Open Space Fund, 1.278 in the Sewer Fund, 1.26 in the Sanitation Fund, 1.0 in the Airport Fund, 1.0 in the Affordable Housing Fund, 0.858 in the Streets Fund, 0.5 in the Sustainability Fund, 0.29 in the Electric Fund, and 0.238 in the Storm Drainage Fund.  New positions included in this budget are:</w:t>
                </w:r>
              </w:p>
              <w:p w:rsidR="00EC3646" w:rsidRPr="0065306D" w:rsidP="00EC3646">
                <w:pPr>
                  <w:pStyle w:val="NormalWeb"/>
                  <w:tabs>
                    <w:tab w:val="right" w:pos="10080"/>
                  </w:tabs>
                  <w:spacing w:before="0" w:beforeAutospacing="0" w:after="0" w:afterAutospacing="0"/>
                  <w:rPr>
                    <w:rFonts w:ascii="Calibri" w:hAnsi="Calibri" w:cs="Arial"/>
                    <w:color w:val="000000" w:themeColor="text1"/>
                  </w:rPr>
                </w:pP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Neighborhood Resource Coordinator in Community and Neighborhood Resources from the General Fund, the Electric Fund, the Broadband Fund, the Water Fund, the Sewer Fund, the Sanitation Fund, the Streets Fund, and the Open Space Fund.  - This position is needed to oversee neighborhood programs and lead collaborative citywide and community efforts.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Counselor in Senior Services – This position is needed to help with a growing workload of case management in Senior Services. It will also help free up staff to support LHA projects.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Librarian I in the Library – This position will serve as a bilingual outreach coordinator.  It is needed for outreach activities to children and adults in the community and to translate materials for the Library.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Social Equity Coordinator in Community Services from the General Fund, the Electric Fund, the Broadband Fund, the Water Fund, the Sewer Fund, the Sanitation Fund, the Streets Fund, and the Open Space Fund – This position is being added to staff the Office of Equity, focus on embedding equity within the organization, and to serve the community as an entry portal to address equity issues.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Development Project Administrator in Planning &amp; Development Services from the General Fund, the Water Fund, the Sewer Fund, the Storm Drainage Fund, </w:t>
                </w:r>
                <w:r w:rsidRPr="0065306D">
                  <w:rPr>
                    <w:rFonts w:ascii="Calibri" w:hAnsi="Calibri" w:cs="Calibri"/>
                  </w:rPr>
                  <w:t xml:space="preserve">and the Streets Fund – This position is to act as a high-level center point of contact for internal and external development customers for designated high priority projects.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GIS Analyst in Planning &amp; Development Services – The positon will be responsible to produce, update and maintain a variety of data sets and maps and present data to support development.   These duties are now performed by a Principal Planner who could be freed up to direct new mapping and data development efforts to support the DRC process.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Two FTE Parks &amp; Open Space Rangers in Public Works and Natural Resources – These positions are needed to support educational and interpretive efforts at McIntosh Lake as well as other locations along the St. Vrain Greenway and throughout the City.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Data &amp; Innovation Analyst in Public Works and Natural Resources Business Services from the General Fund, the Electric Fund, the Broadband Fund, the Sanitation Fund, and the Streets Fund – This position will fill an identified gap in city-wide competencies in the data science stack with goals to improve the use of data and evidence throughout the City.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Human Resources Business Partner II in Shared Services – This position is needed to support a growing work force and would staff employee investigations, employee inquiries, turnover, hiring and regulatory compliance.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Procurement Specialist in Purchasing – With the growth in staff, services and projects in the City, staff is needed to support procurement and contracting needs of the City.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0.50 FTE Retirement Administrator in Finance – This position would take retirement plan administration duties from the Chief Financial Officer position in Finance and the Benefits Administrator position in Human Resources, relieving some workload from the CFO and HR and allow retirement administration to become a more focused priority in Finance.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Clinician II in Community Health &amp; Resilience from the Public Safety Fund. – This position is part of the CORE Team and is currently a grant funded position but the grant is ending. This position responds to calls for service involving individuals with mental health needs or issues.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Community Services Officer Detective in Police from the Public Safety Fund – This position is needed to provide investigative support to the Detective staff in response to person’s crimes.  It will be involved with maintaining the sex offender’s database, tracking on pawn transactions, and assist with investigations of child abuse and trafficking cases.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Two FTE CORE Paramedics in Community Health &amp; Resilience from the Public Safety Fund - These positions are currently grant funded positions but the grant is ending.  The positions are part of the CORE Co-Responder program which adds a specialized paramedic to a dedicated unit comprised of a police officer and a behavioral health clinician.  The paramedic administers patient care consistent with department protocols and physician orders.</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Victim Advocate in Community Health &amp; Resilience from the Public Safety Fund – This position is currently a grant funded position but the grant is ending. The position provides on-scene crisis response to victims of crime and/or unexpected tragedy.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One FTE Volunteer &amp; Evaluation Coordinator at the Museum from the Museum Services Fund - This position is needed to manage volunteer and intern programs at the Museum, coordinate evaluation data to measure success, fulfill grant-reporting responsibilities and continually improve equitable access and services.</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One FTE Network Engineer in Broadband - The position is needed to perform design, maintenance and repair of the existing NextLight fiber network including monitoring of the fiber backbone.</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Customer Service Representative in Broadband – The position is needed to serve an increasing customer count and increasing programs.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Fiber Optic Technician in Broadband – The position is needed for maintenance needs of supporting the distribution network and the fiber backbone.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Airport Operations &amp; Maintenance Technician from the Airport Fund – This position will perform airport maintenance duties that are currently having to be performed by the Airport Manager.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Two FTE Natural Resources Technician in Public Works and Natural Resources Open Space Fund – This will take two existing temporary positions and convert them to full time positions.  It will increase flexibility and cut down on turnover and training.  The positions will focus on vegetative management and some wildlife management responsibilities.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Sanitation Supervisor in Public Works and Natural Resources from the Sanitation Fund – With growth in the Waste Services Program a supervisor is being added for training, incident management, support of equipment issues and providing direction to employees.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Assistant Director of Engineering Services from the Water Fund and Sewer Fund – This position is needed to address Engineering Services responsibilities including oversight of survey techs &amp; MS4 program, coordinate with Operations division and CIP oversight.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Civil Engineer I/II from the Water Fund and Sewer Fund - This position is needed to help complete CIP projects in a timely manner.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One FTE Construction Inspector in Public Works and Natural Resources from the Water Fund, the Sewer Fund, the Storm Drainage Fund, and the Streets Fund - This will take two existing temporary positions and convert them to one full time position.  The position will relieve the Inspection team and provide an increase in the quality of inspections.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0.50 FTE Water Conservation Specialist in Public Works and Natural Resources from the Water Fund – This position will address increasing requests for service in water conservation.</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0.75 FTE Grant Coordinator in Public Works and Natural Resources Business Services – This position will increase resources toward grant support in the areas of energy conservation, renewable energy and infrastructure supporting electric vehicles.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0.50 FTE Sustainability Specialist from the Water Fund - This position will address climate action priorities set by the City Council such as greenhouse gas tracking, reporting and modeling.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0.25  FTE Sustainability Program Coordinator from the Water Fund - This position will address climate action priorities set by the City Council including the creation of a Climate Action Fund to support low-income households and businesses in the renewable energy and electrification transition.   </w:t>
                </w:r>
              </w:p>
              <w:p w:rsidR="00EC3646" w:rsidRPr="0065306D" w:rsidP="00C330D4">
                <w:pPr>
                  <w:pStyle w:val="NormalWeb"/>
                  <w:numPr>
                    <w:ilvl w:val="0"/>
                    <w:numId w:val="16"/>
                  </w:numPr>
                  <w:tabs>
                    <w:tab w:val="left" w:pos="360"/>
                  </w:tabs>
                  <w:spacing w:before="0" w:beforeAutospacing="0" w:after="0" w:afterAutospacing="0"/>
                  <w:rPr>
                    <w:rFonts w:ascii="Calibri" w:hAnsi="Calibri" w:cs="Calibri"/>
                  </w:rPr>
                </w:pPr>
                <w:r w:rsidRPr="0065306D">
                  <w:rPr>
                    <w:rFonts w:ascii="Calibri" w:hAnsi="Calibri" w:cs="Calibri"/>
                  </w:rPr>
                  <w:t xml:space="preserve"> 0.50 FTE Neighborhood Resource Specialist from the Sustainability Fund – This position will increase our resources focusing on neighborhood-based sustainability and help insure broad and equitable engagement across our community.  </w:t>
                </w:r>
              </w:p>
              <w:p w:rsidR="00EC3646" w:rsidRPr="0065306D" w:rsidP="00EC3646">
                <w:pPr>
                  <w:pStyle w:val="NormalWeb"/>
                  <w:tabs>
                    <w:tab w:val="right" w:pos="10080"/>
                  </w:tabs>
                  <w:spacing w:before="0" w:beforeAutospacing="0" w:after="0" w:afterAutospacing="0"/>
                  <w:rPr>
                    <w:rFonts w:ascii="Calibri" w:hAnsi="Calibri" w:cs="Arial"/>
                    <w:color w:val="000000" w:themeColor="text1"/>
                  </w:rPr>
                </w:pPr>
              </w:p>
              <w:p w:rsidR="00EC3646" w:rsidRPr="0065306D" w:rsidP="00EC3646">
                <w:pPr>
                  <w:pStyle w:val="NormalWeb"/>
                  <w:tabs>
                    <w:tab w:val="right" w:pos="10080"/>
                  </w:tabs>
                  <w:spacing w:before="0" w:beforeAutospacing="0" w:after="0" w:afterAutospacing="0"/>
                  <w:rPr>
                    <w:rFonts w:ascii="Calibri" w:hAnsi="Calibri" w:cs="Arial"/>
                    <w:color w:val="000000" w:themeColor="text1"/>
                  </w:rPr>
                </w:pPr>
                <w:r w:rsidRPr="0065306D">
                  <w:rPr>
                    <w:rFonts w:ascii="Calibri" w:hAnsi="Calibri" w:cs="Arial"/>
                    <w:color w:val="000000" w:themeColor="text1"/>
                  </w:rPr>
                  <w:t>There is one additional FTE that should have been included in the proposed budget that was omitted</w:t>
                </w:r>
                <w:r w:rsidRPr="0065306D" w:rsidR="00700D72">
                  <w:rPr>
                    <w:rFonts w:ascii="Calibri" w:hAnsi="Calibri" w:cs="Arial"/>
                    <w:color w:val="000000" w:themeColor="text1"/>
                  </w:rPr>
                  <w:t xml:space="preserve"> and will need to be added</w:t>
                </w:r>
                <w:r w:rsidRPr="0065306D">
                  <w:rPr>
                    <w:rFonts w:ascii="Calibri" w:hAnsi="Calibri" w:cs="Arial"/>
                    <w:color w:val="000000" w:themeColor="text1"/>
                  </w:rPr>
                  <w:t xml:space="preserve">.  </w:t>
                </w:r>
              </w:p>
              <w:p w:rsidR="00EC3646" w:rsidRPr="0065306D" w:rsidP="00C330D4">
                <w:pPr>
                  <w:pStyle w:val="NormalWeb"/>
                  <w:numPr>
                    <w:ilvl w:val="0"/>
                    <w:numId w:val="17"/>
                  </w:numPr>
                  <w:tabs>
                    <w:tab w:val="left" w:pos="360"/>
                  </w:tabs>
                  <w:spacing w:before="0" w:beforeAutospacing="0" w:after="0" w:afterAutospacing="0"/>
                  <w:rPr>
                    <w:rFonts w:ascii="Calibri" w:hAnsi="Calibri" w:cs="Arial"/>
                    <w:color w:val="000000" w:themeColor="text1"/>
                  </w:rPr>
                </w:pPr>
                <w:r w:rsidRPr="0065306D">
                  <w:rPr>
                    <w:rFonts w:ascii="Calibri" w:hAnsi="Calibri" w:cs="Arial"/>
                    <w:color w:val="000000" w:themeColor="text1"/>
                  </w:rPr>
                  <w:t>One FTE Environmental Regulatory Specialist from the Storm Drainage Fund – this is a conversion from temp funding to regular benefitted and will help meet regulatory requirements in support of the MS4Permit as well as other industrial stormwater permits.</w:t>
                </w:r>
              </w:p>
              <w:p w:rsidR="00700D72" w:rsidRPr="0065306D" w:rsidP="00700D72">
                <w:pPr>
                  <w:pStyle w:val="NormalWeb"/>
                  <w:tabs>
                    <w:tab w:val="left" w:pos="360"/>
                  </w:tabs>
                  <w:spacing w:before="0" w:beforeAutospacing="0" w:after="0" w:afterAutospacing="0"/>
                  <w:rPr>
                    <w:rFonts w:ascii="Calibri" w:hAnsi="Calibri" w:cs="Arial"/>
                    <w:color w:val="000000" w:themeColor="text1"/>
                  </w:rPr>
                </w:pPr>
              </w:p>
              <w:p w:rsidR="00EC3646" w:rsidRPr="0065306D" w:rsidP="00EC3646">
                <w:pPr>
                  <w:pStyle w:val="NormalWeb"/>
                  <w:tabs>
                    <w:tab w:val="right" w:pos="10080"/>
                  </w:tabs>
                  <w:spacing w:before="0" w:beforeAutospacing="0" w:after="0" w:afterAutospacing="0"/>
                  <w:rPr>
                    <w:rFonts w:ascii="Calibri" w:hAnsi="Calibri" w:cs="Arial"/>
                    <w:color w:val="000000" w:themeColor="text1"/>
                  </w:rPr>
                </w:pPr>
                <w:r w:rsidRPr="0065306D">
                  <w:rPr>
                    <w:rFonts w:ascii="Calibri" w:hAnsi="Calibri" w:cs="Arial"/>
                    <w:color w:val="000000" w:themeColor="text1"/>
                  </w:rPr>
                  <w:t>The overall impact of all changes to FTEs in this budget</w:t>
                </w:r>
                <w:r w:rsidRPr="0065306D" w:rsidR="00700D72">
                  <w:rPr>
                    <w:rFonts w:ascii="Calibri" w:hAnsi="Calibri" w:cs="Arial"/>
                    <w:color w:val="000000" w:themeColor="text1"/>
                  </w:rPr>
                  <w:t>, including this additional FTE, is</w:t>
                </w:r>
                <w:r w:rsidRPr="0065306D">
                  <w:rPr>
                    <w:rFonts w:ascii="Calibri" w:hAnsi="Calibri" w:cs="Arial"/>
                    <w:color w:val="000000" w:themeColor="text1"/>
                  </w:rPr>
                  <w:t xml:space="preserve"> an increase of 3</w:t>
                </w:r>
                <w:r w:rsidRPr="0065306D" w:rsidR="00700D72">
                  <w:rPr>
                    <w:rFonts w:ascii="Calibri" w:hAnsi="Calibri" w:cs="Arial"/>
                    <w:color w:val="000000" w:themeColor="text1"/>
                  </w:rPr>
                  <w:t>1</w:t>
                </w:r>
                <w:r w:rsidRPr="0065306D">
                  <w:rPr>
                    <w:rFonts w:ascii="Calibri" w:hAnsi="Calibri" w:cs="Arial"/>
                    <w:color w:val="000000" w:themeColor="text1"/>
                  </w:rPr>
                  <w:t>.0 FTE, which brings the total budgeted positions to 1,04</w:t>
                </w:r>
                <w:r w:rsidRPr="0065306D" w:rsidR="00700D72">
                  <w:rPr>
                    <w:rFonts w:ascii="Calibri" w:hAnsi="Calibri" w:cs="Arial"/>
                    <w:color w:val="000000" w:themeColor="text1"/>
                  </w:rPr>
                  <w:t>2</w:t>
                </w:r>
                <w:r w:rsidRPr="0065306D">
                  <w:rPr>
                    <w:rFonts w:ascii="Calibri" w:hAnsi="Calibri" w:cs="Arial"/>
                    <w:color w:val="000000" w:themeColor="text1"/>
                  </w:rPr>
                  <w:t>.76</w:t>
                </w:r>
              </w:p>
              <w:p w:rsidR="00700D72" w:rsidP="00EC3646">
                <w:pPr>
                  <w:pStyle w:val="NormalWeb"/>
                  <w:tabs>
                    <w:tab w:val="right" w:pos="10080"/>
                  </w:tabs>
                  <w:spacing w:before="0" w:beforeAutospacing="0" w:after="0" w:afterAutospacing="0"/>
                  <w:rPr>
                    <w:rFonts w:ascii="Calibri" w:hAnsi="Calibri" w:cs="Arial"/>
                    <w:color w:val="000000" w:themeColor="text1"/>
                    <w:sz w:val="22"/>
                    <w:szCs w:val="22"/>
                  </w:rPr>
                </w:pPr>
              </w:p>
              <w:p w:rsidR="001A3075" w:rsidP="008E1F8B">
                <w:pPr>
                  <w:pStyle w:val="NormalWeb"/>
                  <w:tabs>
                    <w:tab w:val="right" w:pos="10080"/>
                  </w:tabs>
                  <w:spacing w:before="0" w:beforeAutospacing="0" w:after="0" w:afterAutospacing="0"/>
                  <w:rPr>
                    <w:rFonts w:ascii="Calibri" w:hAnsi="Calibri" w:cs="Arial"/>
                    <w:color w:val="000000" w:themeColor="text1"/>
                  </w:rPr>
                </w:pPr>
                <w:r w:rsidRPr="0065306D">
                  <w:rPr>
                    <w:rFonts w:ascii="Calibri" w:hAnsi="Calibri" w:cs="Arial"/>
                    <w:color w:val="000000" w:themeColor="text1"/>
                  </w:rPr>
                  <w:t>As mentioned during the September 14 council meeting there was a couple of errors in the proposed pay plan.  These errors impacted the following seven positions: Community Relations Specialist, Neighborhood Resources Specialist, Community Relations Program Coordinator, Librarian II, Equity and Engagement Specialist, Neighborhood Resources Coordinator and Social Equity Coordinator.  In addition there were Water Quality Specialists positions that were not budget at the correct level as well as the funding allocation for the Grant Coordinator position needed to be reallocated between several funds.  The total impact from the addition of the missing FTE,</w:t>
                </w:r>
                <w:r w:rsidRPr="0065306D" w:rsidR="00A126A3">
                  <w:rPr>
                    <w:rFonts w:ascii="Calibri" w:hAnsi="Calibri" w:cs="Arial"/>
                    <w:color w:val="000000" w:themeColor="text1"/>
                  </w:rPr>
                  <w:t xml:space="preserve"> the pay plan corrections, and the position correction</w:t>
                </w:r>
                <w:r w:rsidR="008E1F8B">
                  <w:rPr>
                    <w:rFonts w:ascii="Calibri" w:hAnsi="Calibri" w:cs="Arial"/>
                    <w:color w:val="000000" w:themeColor="text1"/>
                  </w:rPr>
                  <w:t>s</w:t>
                </w:r>
                <w:r w:rsidRPr="0065306D" w:rsidR="00A126A3">
                  <w:rPr>
                    <w:rFonts w:ascii="Calibri" w:hAnsi="Calibri" w:cs="Arial"/>
                    <w:color w:val="000000" w:themeColor="text1"/>
                  </w:rPr>
                  <w:t xml:space="preserve"> mentioned above is $200,980 split across multiple funds</w:t>
                </w:r>
                <w:r w:rsidR="008E1F8B">
                  <w:rPr>
                    <w:rFonts w:ascii="Calibri" w:hAnsi="Calibri" w:cs="Arial"/>
                    <w:color w:val="000000" w:themeColor="text1"/>
                  </w:rPr>
                  <w:t xml:space="preserve"> and is detailed in </w:t>
                </w:r>
                <w:r w:rsidRPr="00B77B78" w:rsidR="008E1F8B">
                  <w:rPr>
                    <w:rFonts w:ascii="Calibri" w:hAnsi="Calibri" w:cs="Arial"/>
                    <w:b/>
                    <w:i/>
                    <w:color w:val="000000" w:themeColor="text1"/>
                  </w:rPr>
                  <w:t xml:space="preserve">Attachment </w:t>
                </w:r>
                <w:r w:rsidRPr="00B77B78" w:rsidR="00B77B78">
                  <w:rPr>
                    <w:rFonts w:ascii="Calibri" w:hAnsi="Calibri" w:cs="Arial"/>
                    <w:b/>
                    <w:i/>
                    <w:color w:val="000000" w:themeColor="text1"/>
                  </w:rPr>
                  <w:t>J</w:t>
                </w:r>
                <w:r w:rsidRPr="00B77B78" w:rsidR="00A126A3">
                  <w:rPr>
                    <w:rFonts w:ascii="Calibri" w:hAnsi="Calibri" w:cs="Arial"/>
                    <w:color w:val="000000" w:themeColor="text1"/>
                  </w:rPr>
                  <w:t>.</w:t>
                </w:r>
                <w:r w:rsidRPr="0065306D" w:rsidR="00A126A3">
                  <w:rPr>
                    <w:rFonts w:ascii="Calibri" w:hAnsi="Calibri" w:cs="Arial"/>
                    <w:color w:val="000000" w:themeColor="text1"/>
                  </w:rPr>
                  <w:t xml:space="preserve">  </w:t>
                </w:r>
              </w:p>
              <w:p w:rsidR="008E1F8B" w:rsidRPr="001A3075" w:rsidP="008E1F8B">
                <w:pPr>
                  <w:pStyle w:val="NormalWeb"/>
                  <w:tabs>
                    <w:tab w:val="right" w:pos="10080"/>
                  </w:tabs>
                  <w:spacing w:before="0" w:beforeAutospacing="0" w:after="0" w:afterAutospacing="0"/>
                </w:pPr>
              </w:p>
              <w:p w:rsidR="001A3075" w:rsidP="00F70A44">
                <w:pPr>
                  <w:rPr>
                    <w:b/>
                  </w:rPr>
                </w:pPr>
                <w:r w:rsidRPr="001A3075">
                  <w:rPr>
                    <w:b/>
                  </w:rPr>
                  <w:t>ONE-TME EXPENSES</w:t>
                </w:r>
              </w:p>
              <w:p w:rsidR="00C9755D" w:rsidRPr="00C9755D" w:rsidP="00F70A44">
                <w:pPr>
                  <w:rPr>
                    <w:b/>
                    <w:i/>
                  </w:rPr>
                </w:pPr>
                <w:r>
                  <w:rPr>
                    <w:b/>
                    <w:i/>
                  </w:rPr>
                  <w:t>General Fund</w:t>
                </w:r>
              </w:p>
              <w:p w:rsidR="002824F0" w:rsidRPr="004E694F" w:rsidP="002824F0">
                <w:r w:rsidRPr="004E694F">
                  <w:t>There is a total of $</w:t>
                </w:r>
                <w:r w:rsidRPr="004E694F" w:rsidR="004E694F">
                  <w:t>8,346,258</w:t>
                </w:r>
                <w:r w:rsidRPr="004E694F">
                  <w:t xml:space="preserve"> one-time expenses included in the proposed 202</w:t>
                </w:r>
                <w:r w:rsidRPr="004E694F" w:rsidR="004E694F">
                  <w:t>2</w:t>
                </w:r>
                <w:r w:rsidRPr="004E694F">
                  <w:t xml:space="preserve"> General Fund budget.  There is $</w:t>
                </w:r>
                <w:r w:rsidRPr="004E694F" w:rsidR="004E694F">
                  <w:t>3,829,461</w:t>
                </w:r>
                <w:r w:rsidRPr="004E694F">
                  <w:t xml:space="preserve"> of one-time revenues</w:t>
                </w:r>
                <w:r w:rsidRPr="004E694F" w:rsidR="004E694F">
                  <w:t xml:space="preserve"> and reserved fund balance that will be used to help offset these one-time expenses making the </w:t>
                </w:r>
                <w:r w:rsidRPr="004E694F">
                  <w:t xml:space="preserve">net one-time expense in the </w:t>
                </w:r>
                <w:r w:rsidRPr="004E694F">
                  <w:t>General Fund $</w:t>
                </w:r>
                <w:r w:rsidRPr="004E694F" w:rsidR="004E694F">
                  <w:t>4,516,797</w:t>
                </w:r>
                <w:r w:rsidRPr="00B77B78">
                  <w:t xml:space="preserve">.   </w:t>
                </w:r>
                <w:r w:rsidRPr="00B77B78">
                  <w:rPr>
                    <w:b/>
                    <w:i/>
                  </w:rPr>
                  <w:t xml:space="preserve">Attachment </w:t>
                </w:r>
                <w:r w:rsidRPr="00B77B78" w:rsidR="00B77B78">
                  <w:rPr>
                    <w:b/>
                    <w:i/>
                  </w:rPr>
                  <w:t>K</w:t>
                </w:r>
                <w:r w:rsidRPr="00B77B78">
                  <w:t xml:space="preserve"> is a listing</w:t>
                </w:r>
                <w:r w:rsidRPr="004E694F">
                  <w:t xml:space="preserve"> of all one-time expenses in the General Fund.  As in previous years we have categorized these expenses in the following areas:</w:t>
                </w:r>
              </w:p>
              <w:p w:rsidR="002824F0" w:rsidRPr="004E694F" w:rsidP="002824F0">
                <w:pPr>
                  <w:jc w:val="both"/>
                  <w:rPr>
                    <w:sz w:val="16"/>
                  </w:rPr>
                </w:pPr>
              </w:p>
              <w:p w:rsidR="002824F0" w:rsidRPr="004E694F" w:rsidP="002824F0">
                <w:pPr>
                  <w:tabs>
                    <w:tab w:val="right" w:pos="7920"/>
                  </w:tabs>
                  <w:jc w:val="both"/>
                </w:pPr>
                <w:r w:rsidRPr="004E694F">
                  <w:t xml:space="preserve">     Capital - Equipment</w:t>
                </w:r>
                <w:r w:rsidRPr="004E694F">
                  <w:tab/>
                  <w:t xml:space="preserve">$               </w:t>
                </w:r>
                <w:r w:rsidRPr="004E694F" w:rsidR="004E694F">
                  <w:t>573,836</w:t>
                </w:r>
              </w:p>
              <w:p w:rsidR="002824F0" w:rsidRPr="004E694F" w:rsidP="002824F0">
                <w:pPr>
                  <w:tabs>
                    <w:tab w:val="right" w:pos="7920"/>
                  </w:tabs>
                  <w:jc w:val="both"/>
                </w:pPr>
                <w:r w:rsidRPr="004E694F">
                  <w:t xml:space="preserve">     IT Equipment or</w:t>
                </w:r>
                <w:r w:rsidRPr="004E694F" w:rsidR="004E694F">
                  <w:t xml:space="preserve"> Technology Improvements</w:t>
                </w:r>
                <w:r w:rsidRPr="004E694F" w:rsidR="004E694F">
                  <w:tab/>
                  <w:t>1,497,748</w:t>
                </w:r>
              </w:p>
              <w:p w:rsidR="002824F0" w:rsidRPr="004E694F" w:rsidP="002824F0">
                <w:pPr>
                  <w:tabs>
                    <w:tab w:val="right" w:pos="7920"/>
                  </w:tabs>
                  <w:jc w:val="both"/>
                </w:pPr>
                <w:r w:rsidRPr="004E694F">
                  <w:t xml:space="preserve">     Non-Capital - Sm</w:t>
                </w:r>
                <w:r w:rsidRPr="004E694F" w:rsidR="004E694F">
                  <w:t>all Equipment &amp; Supplies</w:t>
                </w:r>
                <w:r w:rsidRPr="004E694F" w:rsidR="004E694F">
                  <w:tab/>
                  <w:t>177,270</w:t>
                </w:r>
              </w:p>
              <w:p w:rsidR="002824F0" w:rsidRPr="00D74244" w:rsidP="002824F0">
                <w:pPr>
                  <w:tabs>
                    <w:tab w:val="right" w:pos="7920"/>
                  </w:tabs>
                  <w:jc w:val="both"/>
                </w:pPr>
                <w:r w:rsidRPr="004E694F">
                  <w:t xml:space="preserve">     One T</w:t>
                </w:r>
                <w:r w:rsidRPr="004E694F" w:rsidR="004E694F">
                  <w:t>ime Services or Expenses</w:t>
                </w:r>
                <w:r w:rsidRPr="004E694F" w:rsidR="004E694F">
                  <w:tab/>
                  <w:t>6,097</w:t>
                </w:r>
                <w:r w:rsidR="004E694F">
                  <w:t>,404</w:t>
                </w:r>
              </w:p>
              <w:p w:rsidR="002824F0" w:rsidRPr="00140DED" w:rsidP="002824F0">
                <w:pPr>
                  <w:pStyle w:val="Header"/>
                  <w:rPr>
                    <w:sz w:val="16"/>
                    <w:highlight w:val="yellow"/>
                  </w:rPr>
                </w:pPr>
              </w:p>
              <w:p w:rsidR="002824F0" w:rsidRPr="00D74244" w:rsidP="002824F0">
                <w:pPr>
                  <w:rPr>
                    <w:b/>
                    <w:i/>
                  </w:rPr>
                </w:pPr>
                <w:r w:rsidRPr="00D74244">
                  <w:rPr>
                    <w:b/>
                    <w:i/>
                  </w:rPr>
                  <w:t>Public Safety Fund</w:t>
                </w:r>
              </w:p>
              <w:p w:rsidR="002824F0" w:rsidRPr="00DE0B13" w:rsidP="002824F0">
                <w:pPr>
                  <w:pStyle w:val="Header"/>
                </w:pPr>
                <w:r w:rsidRPr="00DE0B13">
                  <w:t>There is a total of $7</w:t>
                </w:r>
                <w:r w:rsidRPr="00DE0B13" w:rsidR="00DE0B13">
                  <w:t>33,030</w:t>
                </w:r>
                <w:r w:rsidRPr="00DE0B13">
                  <w:t xml:space="preserve"> for capital and other one-time expenses included in the proposed 202</w:t>
                </w:r>
                <w:r w:rsidRPr="00DE0B13" w:rsidR="00DE0B13">
                  <w:t>2</w:t>
                </w:r>
                <w:r w:rsidRPr="00DE0B13">
                  <w:t xml:space="preserve"> Public Safety Fund </w:t>
                </w:r>
                <w:r w:rsidRPr="00B77B78">
                  <w:t xml:space="preserve">budget.  </w:t>
                </w:r>
                <w:r w:rsidRPr="00B77B78">
                  <w:rPr>
                    <w:b/>
                    <w:i/>
                  </w:rPr>
                  <w:t xml:space="preserve">Attachment </w:t>
                </w:r>
                <w:r w:rsidRPr="00B77B78" w:rsidR="00B77B78">
                  <w:rPr>
                    <w:b/>
                    <w:i/>
                  </w:rPr>
                  <w:t>L</w:t>
                </w:r>
                <w:r w:rsidRPr="00B77B78">
                  <w:t xml:space="preserve"> is a listing a listing of all the one-time expenses in the Public Safety Fund.  We have categorized</w:t>
                </w:r>
                <w:r w:rsidRPr="00DE0B13">
                  <w:t xml:space="preserve"> these expenses in the following areas:</w:t>
                </w:r>
              </w:p>
              <w:p w:rsidR="002824F0" w:rsidRPr="00DE0B13" w:rsidP="002824F0">
                <w:pPr>
                  <w:tabs>
                    <w:tab w:val="right" w:pos="7920"/>
                  </w:tabs>
                  <w:jc w:val="both"/>
                  <w:rPr>
                    <w:sz w:val="16"/>
                  </w:rPr>
                </w:pPr>
              </w:p>
              <w:p w:rsidR="002824F0" w:rsidRPr="00DE0B13" w:rsidP="002824F0">
                <w:pPr>
                  <w:tabs>
                    <w:tab w:val="right" w:pos="7920"/>
                  </w:tabs>
                  <w:jc w:val="both"/>
                </w:pPr>
                <w:r w:rsidRPr="00DE0B13">
                  <w:t xml:space="preserve">     Capital - Equipment</w:t>
                </w:r>
                <w:r w:rsidRPr="00DE0B13">
                  <w:tab/>
                  <w:t xml:space="preserve">$  </w:t>
                </w:r>
                <w:r w:rsidRPr="00DE0B13" w:rsidR="00DE0B13">
                  <w:t>169,088</w:t>
                </w:r>
              </w:p>
              <w:p w:rsidR="002824F0" w:rsidRPr="00DE0B13" w:rsidP="002824F0">
                <w:pPr>
                  <w:tabs>
                    <w:tab w:val="right" w:pos="7920"/>
                  </w:tabs>
                  <w:jc w:val="both"/>
                </w:pPr>
                <w:r w:rsidRPr="00DE0B13">
                  <w:t xml:space="preserve">     IT Equipment or Technology Improvem</w:t>
                </w:r>
                <w:r w:rsidRPr="00DE0B13" w:rsidR="00DE0B13">
                  <w:t>ents</w:t>
                </w:r>
                <w:r w:rsidRPr="00DE0B13" w:rsidR="00DE0B13">
                  <w:tab/>
                  <w:t>316,716</w:t>
                </w:r>
              </w:p>
              <w:p w:rsidR="002824F0" w:rsidRPr="00DE0B13" w:rsidP="002824F0">
                <w:pPr>
                  <w:tabs>
                    <w:tab w:val="right" w:pos="7920"/>
                  </w:tabs>
                  <w:jc w:val="both"/>
                </w:pPr>
                <w:r w:rsidRPr="00DE0B13">
                  <w:t xml:space="preserve">     Non-Capital - Sm</w:t>
                </w:r>
                <w:r w:rsidRPr="00DE0B13" w:rsidR="00DE0B13">
                  <w:t>all Equipment &amp; Supplies</w:t>
                </w:r>
                <w:r w:rsidRPr="00DE0B13" w:rsidR="00DE0B13">
                  <w:tab/>
                  <w:t>239,320</w:t>
                </w:r>
              </w:p>
              <w:p w:rsidR="002824F0" w:rsidRPr="00D74244" w:rsidP="002824F0">
                <w:pPr>
                  <w:tabs>
                    <w:tab w:val="right" w:pos="7920"/>
                  </w:tabs>
                  <w:jc w:val="both"/>
                </w:pPr>
                <w:r w:rsidRPr="00DE0B13">
                  <w:t xml:space="preserve">     One </w:t>
                </w:r>
                <w:r w:rsidRPr="00DE0B13" w:rsidR="00DE0B13">
                  <w:t>Time Services or Expenses</w:t>
                </w:r>
                <w:r w:rsidRPr="00DE0B13" w:rsidR="00DE0B13">
                  <w:tab/>
                  <w:t>7,906</w:t>
                </w:r>
              </w:p>
              <w:p w:rsidR="001A3075" w:rsidRPr="001A3075" w:rsidP="00F70A44"/>
              <w:p w:rsidR="001A3075" w:rsidP="00F70A44">
                <w:pPr>
                  <w:rPr>
                    <w:b/>
                  </w:rPr>
                </w:pPr>
                <w:r w:rsidRPr="001A3075">
                  <w:rPr>
                    <w:b/>
                  </w:rPr>
                  <w:t>INCREMENTAL DEVELOPMENT REVENUE</w:t>
                </w:r>
              </w:p>
              <w:p w:rsidR="002824F0" w:rsidRPr="0005260A" w:rsidP="002824F0">
                <w:r w:rsidRPr="0005260A">
                  <w:t>The 202</w:t>
                </w:r>
                <w:r w:rsidRPr="0005260A" w:rsidR="00A93225">
                  <w:t>2</w:t>
                </w:r>
                <w:r w:rsidRPr="0005260A">
                  <w:t xml:space="preserve"> proposed budget includes a projection of </w:t>
                </w:r>
                <w:r w:rsidRPr="0005260A" w:rsidR="00A93225">
                  <w:t>867</w:t>
                </w:r>
                <w:r w:rsidRPr="0005260A">
                  <w:t xml:space="preserve"> building permits for new dwelling units.  The current incremental development revenue financial policy calls for any revenue above a base of 200 new dwelling units to be considered incremental development revenue.  There is a total of $</w:t>
                </w:r>
                <w:r w:rsidRPr="0005260A" w:rsidR="00A93225">
                  <w:t>619,872</w:t>
                </w:r>
                <w:r w:rsidRPr="0005260A">
                  <w:t xml:space="preserve"> in incremental development revenue from in the proposed budget (building permits $</w:t>
                </w:r>
                <w:r w:rsidRPr="0005260A" w:rsidR="00A93225">
                  <w:t>564,328</w:t>
                </w:r>
                <w:r w:rsidRPr="0005260A">
                  <w:t xml:space="preserve"> and plan reviews $</w:t>
                </w:r>
                <w:r w:rsidRPr="0005260A" w:rsidR="00A93225">
                  <w:t>55,544</w:t>
                </w:r>
                <w:r w:rsidRPr="0005260A">
                  <w:t>).  The full amount is being used to cover ongoing expenses that are subject to reduction in the event that this level of revenue is not sustained in the future per the Incremental Development Revenue financial policy.</w:t>
                </w:r>
              </w:p>
              <w:p w:rsidR="002824F0" w:rsidP="002824F0">
                <w:pPr>
                  <w:rPr>
                    <w:highlight w:val="yellow"/>
                  </w:rPr>
                </w:pPr>
              </w:p>
              <w:p w:rsidR="004A5860" w:rsidRPr="002824F0" w:rsidP="002824F0">
                <w:pPr>
                  <w:rPr>
                    <w:highlight w:val="yellow"/>
                  </w:rPr>
                </w:pPr>
                <w:r w:rsidRPr="004A5860">
                  <w:rPr>
                    <w:rFonts w:ascii="Calibri" w:eastAsia="Calibri" w:hAnsi="Calibri" w:cs="Times New Roman"/>
                    <w:noProof/>
                    <w:sz w:val="22"/>
                    <w:szCs w:val="22"/>
                  </w:rPr>
                  <w:drawing>
                    <wp:inline distT="0" distB="0" distL="0" distR="0">
                      <wp:extent cx="5943600" cy="225811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49154"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258113"/>
                              </a:xfrm>
                              <a:prstGeom prst="rect">
                                <a:avLst/>
                              </a:prstGeom>
                              <a:noFill/>
                              <a:ln>
                                <a:noFill/>
                              </a:ln>
                            </pic:spPr>
                          </pic:pic>
                        </a:graphicData>
                      </a:graphic>
                    </wp:inline>
                  </w:drawing>
                </w:r>
              </w:p>
              <w:p w:rsidR="001A3075" w:rsidRPr="001A3075" w:rsidP="00F70A44"/>
              <w:p w:rsidR="001A3075" w:rsidP="00F70A44">
                <w:pPr>
                  <w:rPr>
                    <w:b/>
                  </w:rPr>
                </w:pPr>
                <w:r w:rsidRPr="00B37EEC">
                  <w:rPr>
                    <w:b/>
                  </w:rPr>
                  <w:t>EARLY CHILDHOOD EDUCATION</w:t>
                </w:r>
              </w:p>
              <w:p w:rsidR="00B37EEC" w:rsidRPr="005B032B" w:rsidP="00B37EEC">
                <w:r w:rsidRPr="005A3421">
                  <w:t>In support of the City Council work plan, this proposed budget includes $50</w:t>
                </w:r>
                <w:r>
                  <w:t>0</w:t>
                </w:r>
                <w:r w:rsidRPr="005A3421">
                  <w:t xml:space="preserve">,000 of </w:t>
                </w:r>
                <w:r>
                  <w:t xml:space="preserve">one-time </w:t>
                </w:r>
                <w:r w:rsidRPr="005A3421">
                  <w:t>resources for investment in early childhood related to the outcomes of the Mayor’s Early Childhood Summit held in spring 2019</w:t>
                </w:r>
                <w:r>
                  <w:t>, and the ongoing work of Bright EYES and the Longmont Early Childhood Community Coalition</w:t>
                </w:r>
                <w:r w:rsidRPr="005A3421">
                  <w:t xml:space="preserve">. Funds will leverage strengths and address challenges related to the early learning delivery system in Longmont. </w:t>
                </w:r>
                <w:r>
                  <w:t>These o</w:t>
                </w:r>
                <w:r w:rsidRPr="00823EF7">
                  <w:t>ne-time resources will be used in areas that can make the greatest impact. In 2021, four contracts for servic</w:t>
                </w:r>
                <w:r>
                  <w:t>e were awarded to organizations</w:t>
                </w:r>
                <w:r w:rsidRPr="00823EF7">
                  <w:t xml:space="preserve"> to </w:t>
                </w:r>
                <w:r>
                  <w:t>provide</w:t>
                </w:r>
                <w:r w:rsidRPr="00823EF7">
                  <w:t xml:space="preserve"> mobile preschool learning opportunities, open</w:t>
                </w:r>
                <w:r>
                  <w:t xml:space="preserve"> </w:t>
                </w:r>
                <w:r w:rsidRPr="00823EF7">
                  <w:t xml:space="preserve">additional preschool classrooms, </w:t>
                </w:r>
                <w:r>
                  <w:t xml:space="preserve">provide </w:t>
                </w:r>
                <w:r w:rsidRPr="00823EF7">
                  <w:t xml:space="preserve">parent education and </w:t>
                </w:r>
                <w:r>
                  <w:t>provide</w:t>
                </w:r>
                <w:r w:rsidRPr="00823EF7">
                  <w:t xml:space="preserve"> professional coaching and training for providers. Proposed uses for</w:t>
                </w:r>
                <w:r>
                  <w:t xml:space="preserve"> 2022</w:t>
                </w:r>
                <w:r w:rsidRPr="00823EF7">
                  <w:t xml:space="preserve"> one-time funds will address data </w:t>
                </w:r>
                <w:r>
                  <w:t xml:space="preserve">collection regarding the need for additional childcare/early learning </w:t>
                </w:r>
                <w:r w:rsidRPr="00823EF7">
                  <w:t>slots</w:t>
                </w:r>
                <w:r>
                  <w:t xml:space="preserve"> to serve Longmont families</w:t>
                </w:r>
                <w:r w:rsidRPr="00823EF7">
                  <w:t xml:space="preserve">. </w:t>
                </w:r>
                <w:r>
                  <w:t xml:space="preserve">Creating a data </w:t>
                </w:r>
                <w:r w:rsidRPr="00823EF7">
                  <w:t>system</w:t>
                </w:r>
                <w:r>
                  <w:t xml:space="preserve"> to track </w:t>
                </w:r>
                <w:r w:rsidRPr="00823EF7">
                  <w:t xml:space="preserve">the need </w:t>
                </w:r>
                <w:r>
                  <w:t xml:space="preserve">for additional slots </w:t>
                </w:r>
                <w:r w:rsidRPr="00823EF7">
                  <w:t>at any given time</w:t>
                </w:r>
                <w:r>
                  <w:t xml:space="preserve">, </w:t>
                </w:r>
                <w:r w:rsidRPr="00823EF7">
                  <w:t>w</w:t>
                </w:r>
                <w:r>
                  <w:t xml:space="preserve">ill help providers in </w:t>
                </w:r>
                <w:r w:rsidRPr="009173CC">
                  <w:t xml:space="preserve">the early childhood system focus future investments to address capacity issues on an ongoing basis. Staff will continue work with </w:t>
                </w:r>
                <w:r>
                  <w:t>“</w:t>
                </w:r>
                <w:r w:rsidRPr="009173CC">
                  <w:t>What Works Cities</w:t>
                </w:r>
                <w:r>
                  <w:t>”</w:t>
                </w:r>
                <w:r w:rsidRPr="009173CC">
                  <w:t xml:space="preserve"> to obtain technical assistance in order to identify data around the demand for childcare in </w:t>
                </w:r>
                <w:r>
                  <w:t xml:space="preserve">Longmont </w:t>
                </w:r>
                <w:r w:rsidRPr="009173CC">
                  <w:t xml:space="preserve">at any given point in time. In addition, </w:t>
                </w:r>
                <w:r>
                  <w:t xml:space="preserve">staff </w:t>
                </w:r>
                <w:r w:rsidRPr="009173CC">
                  <w:t xml:space="preserve">will </w:t>
                </w:r>
                <w:r>
                  <w:t>continue</w:t>
                </w:r>
                <w:r w:rsidRPr="009173CC">
                  <w:t xml:space="preserve"> to work on building the capacity of providers</w:t>
                </w:r>
                <w:r>
                  <w:t xml:space="preserve"> that serve the Longmont community, </w:t>
                </w:r>
                <w:r w:rsidRPr="009173CC">
                  <w:t xml:space="preserve">providing opportunities for both formal and informal training and education of </w:t>
                </w:r>
                <w:r>
                  <w:t>early childhood professionals. </w:t>
                </w:r>
                <w:r w:rsidRPr="009173CC">
                  <w:t xml:space="preserve">Staff </w:t>
                </w:r>
                <w:r>
                  <w:t xml:space="preserve">will </w:t>
                </w:r>
                <w:r w:rsidRPr="009173CC">
                  <w:t>als</w:t>
                </w:r>
                <w:r>
                  <w:t>o work</w:t>
                </w:r>
                <w:r w:rsidRPr="009173CC">
                  <w:t xml:space="preserve"> with collaborators on how to utilize funding to support infrastructure </w:t>
                </w:r>
                <w:r>
                  <w:t>needs</w:t>
                </w:r>
                <w:r w:rsidRPr="009173CC">
                  <w:t xml:space="preserve"> of childcare businesses and organizations. Using staff funding as incentives is an area that </w:t>
                </w:r>
                <w:r>
                  <w:t xml:space="preserve">staff is </w:t>
                </w:r>
                <w:r w:rsidRPr="009173CC">
                  <w:t>also</w:t>
                </w:r>
                <w:r>
                  <w:t xml:space="preserve"> exploring with collaborators. </w:t>
                </w:r>
                <w:r w:rsidRPr="009173CC">
                  <w:t>It is not feasible to use one time funding to</w:t>
                </w:r>
                <w:r>
                  <w:t xml:space="preserve"> increase childcare </w:t>
                </w:r>
                <w:r w:rsidRPr="009173CC">
                  <w:t xml:space="preserve">staff wages, but </w:t>
                </w:r>
                <w:r>
                  <w:t xml:space="preserve">other options could be considered, such as </w:t>
                </w:r>
                <w:r w:rsidRPr="009173CC">
                  <w:t>using funding for bonuses. There are organizations who are not reopening classrooms and are going as far as closing existing classrooms because of staff shortages. Working with childcare organizations is essential at this time in order to maintain</w:t>
                </w:r>
                <w:r>
                  <w:t>,</w:t>
                </w:r>
                <w:r w:rsidRPr="009173CC">
                  <w:t xml:space="preserve"> at </w:t>
                </w:r>
                <w:r>
                  <w:t xml:space="preserve">a minimum, </w:t>
                </w:r>
                <w:r w:rsidRPr="009173CC">
                  <w:t>the current level of resources while continuing to work on increasing res</w:t>
                </w:r>
                <w:r>
                  <w:t>ources in this area</w:t>
                </w:r>
                <w:r w:rsidRPr="009173CC">
                  <w:t xml:space="preserve">. </w:t>
                </w:r>
              </w:p>
              <w:p w:rsidR="001A3075" w:rsidRPr="001A3075" w:rsidP="00F70A44"/>
              <w:p w:rsidR="001A3075" w:rsidP="00F70A44">
                <w:pPr>
                  <w:rPr>
                    <w:b/>
                  </w:rPr>
                </w:pPr>
                <w:r w:rsidRPr="00B37EEC">
                  <w:rPr>
                    <w:b/>
                  </w:rPr>
                  <w:t>HUMAN SERVICE AGENCY FUNDING</w:t>
                </w:r>
              </w:p>
              <w:p w:rsidR="00B37EEC" w:rsidP="00B37EEC">
                <w:r w:rsidRPr="005A3421">
                  <w:t xml:space="preserve">One of the current financial policies </w:t>
                </w:r>
                <w:r>
                  <w:t>of the City Council is that 2.52</w:t>
                </w:r>
                <w:r w:rsidRPr="005A3421">
                  <w:t>% of General Fund budgeted ongoing tax revenues will be allocated to fund services that address critical human service needs in the Longmont community. Since 2018, nearly half of this funding has been dedicated to housing stabilization and homeless intervention programs. In 2019 the City Council reviewed funding recommendations provided by the Longmont Housing and Human Services Advisory Board (HHSAB) that ultimately increased the amount of General Fund revenues set aside for this purpose from 2.05% to 3% in order to: 1) increase housing resources for adults experiencing homelessness and 2) restore available funding for agencies addressing other critical human service needs to pre-2018 levels. City Council directed staff to move in this direction over a three</w:t>
                </w:r>
                <w:r>
                  <w:t>-year period. This proposed 2022</w:t>
                </w:r>
                <w:r w:rsidRPr="005A3421">
                  <w:t xml:space="preserve"> budget </w:t>
                </w:r>
                <w:r>
                  <w:t xml:space="preserve">does increase the percent of General Fund tax revenues allocated for human services to 3%, which represents an increase in funding of $572,842 (increase of set-aside to 3%, plus an increase in tax revenues for 2022). </w:t>
                </w:r>
              </w:p>
              <w:p w:rsidR="00B37EEC" w:rsidP="00B37EEC"/>
              <w:p w:rsidR="00B37EEC" w:rsidRPr="006266ED" w:rsidP="00B37EEC">
                <w:r>
                  <w:t xml:space="preserve">City staff has initiated the 2022 funding process and has received applications from </w:t>
                </w:r>
                <w:r w:rsidRPr="00953D77">
                  <w:t>41 agencies</w:t>
                </w:r>
                <w:r>
                  <w:t xml:space="preserve">; </w:t>
                </w:r>
                <w:r w:rsidRPr="00953D77">
                  <w:t>the total amount requested is a little over $1.6 million</w:t>
                </w:r>
                <w:r>
                  <w:t>, which</w:t>
                </w:r>
                <w:r w:rsidRPr="00953D77">
                  <w:t xml:space="preserve"> is an incre</w:t>
                </w:r>
                <w:r>
                  <w:t>ase of over $100K in requests fro</w:t>
                </w:r>
                <w:r w:rsidRPr="00953D77">
                  <w:t>m 2021.</w:t>
                </w:r>
                <w:r w:rsidRPr="006266ED">
                  <w:t xml:space="preserve"> </w:t>
                </w:r>
                <w:r>
                  <w:t>This proposed increase in the human service funding set aside will make it possible to address increased demands for safety net services, while supporting community efforts to address challenging social issues such as homelessness.</w:t>
                </w:r>
              </w:p>
              <w:p w:rsidR="001A3075" w:rsidRPr="001A3075" w:rsidP="00F70A44"/>
              <w:p w:rsidR="001A3075" w:rsidP="00F70A44">
                <w:pPr>
                  <w:rPr>
                    <w:b/>
                  </w:rPr>
                </w:pPr>
                <w:r w:rsidRPr="00B37EEC">
                  <w:rPr>
                    <w:b/>
                  </w:rPr>
                  <w:t>AFFORDABLE HOUSING</w:t>
                </w:r>
              </w:p>
              <w:p w:rsidR="00B37EEC" w:rsidRPr="00816834" w:rsidP="00B37EEC">
                <w:r w:rsidRPr="00953D77">
                  <w:t xml:space="preserve">Beginning in 2019, affordable housing development was boosted by </w:t>
                </w:r>
                <w:r>
                  <w:t>half</w:t>
                </w:r>
                <w:r w:rsidRPr="00953D77">
                  <w:t xml:space="preserve"> of the 3% special sales tax on the sale of marijuana. This revenue is estimated at $</w:t>
                </w:r>
                <w:r w:rsidR="002025A1">
                  <w:t>300</w:t>
                </w:r>
                <w:r w:rsidRPr="00953D77">
                  <w:t xml:space="preserve">,000 for 2022 in addition </w:t>
                </w:r>
                <w:r>
                  <w:t>to the $1 million General Fund t</w:t>
                </w:r>
                <w:r w:rsidRPr="00953D77">
                  <w:t>ransfer to the Affordable Housing Fund. Ongoing support of $206,543 from the General Fund is provided to supplement staffing and administration costs associated with the City’s Affordable Housing Fund, CDBG and HOME programs that support and provide affordable housing and community reinvestment efforts throughout the city. Due to reductions to this transfer amount in the 2019 budget, an increase in the amount of costs associated with administering Affordable Housing programs with the addition of the Inclusionary Housing Program, the anticipated close out of CDBG-DR funding, and continued decreases in CDBG and Home administrative funding, staff is estimating that up to an additional $150,000 in administrative costs in 2022 will need to be covered from the capital funding. In 2021, City Council authorized staff to use up to 10% of the $1 million General Fund contribution to fund the gap in administrative expenses for 2020 and 2021. In the 2022 budget, staff proposes that up to 10% of all Affordable Housing Fund revenues (General Fund, marijuana tax revenues, loan repayments and payments in lieu) be used to fund administrative expenses associated with the City’s Affordable Housing programs in 2022 and going forward. This will also be discussed with City Council when Council gives direction on the City’s 2022 Financial Policies on September 28.</w:t>
                </w:r>
                <w:r w:rsidRPr="00816834">
                  <w:t xml:space="preserve"> </w:t>
                </w:r>
              </w:p>
              <w:p w:rsidR="001A3075" w:rsidP="00F70A44"/>
              <w:p w:rsidR="008E1F8B" w:rsidP="008E1F8B">
                <w:pPr>
                  <w:rPr>
                    <w:b/>
                  </w:rPr>
                </w:pPr>
                <w:r w:rsidRPr="00B37EEC">
                  <w:rPr>
                    <w:b/>
                  </w:rPr>
                  <w:t>RECREATION BUDGET</w:t>
                </w:r>
              </w:p>
              <w:p w:rsidR="008E1F8B" w:rsidRPr="00BE5CF9" w:rsidP="008E1F8B">
                <w:r w:rsidRPr="00BE5CF9">
                  <w:t>In 2021, COVID-19 continued to have an impact on Recreation Services revenue. For the first four months of the year, programs and facilities were impacted through capacity restrictions, mask requirements and hesitation to return to indoor programming.  Attendance at this time averaged 567 guests per day.  With the uptick in COVID-19 cases in August, daily attendance started to decline and will decline even further with the recently reinstated mask order. During the 2021 Budget process, Council approved a reduction of the Recreation Budget of $1,127,792. The 2022 Budget proposes adding back $120,000 to Recreation Services budget to fund the following:</w:t>
                </w:r>
              </w:p>
              <w:p w:rsidR="008E1F8B" w:rsidRPr="00BE5CF9" w:rsidP="008E1F8B">
                <w:pPr>
                  <w:numPr>
                    <w:ilvl w:val="0"/>
                    <w:numId w:val="12"/>
                  </w:numPr>
                </w:pPr>
                <w:r w:rsidRPr="00BE5CF9">
                  <w:t>$30,000 – funding to operate a full season of the outdoor ice rink season</w:t>
                </w:r>
              </w:p>
              <w:p w:rsidR="008E1F8B" w:rsidRPr="00BE5CF9" w:rsidP="008E1F8B">
                <w:pPr>
                  <w:numPr>
                    <w:ilvl w:val="0"/>
                    <w:numId w:val="12"/>
                  </w:numPr>
                </w:pPr>
                <w:r w:rsidRPr="00BE5CF9">
                  <w:t>$40,000 – funding to open Kanemoto Swimming pool for the summer season</w:t>
                </w:r>
              </w:p>
              <w:p w:rsidR="008E1F8B" w:rsidRPr="00BE5CF9" w:rsidP="008E1F8B">
                <w:pPr>
                  <w:numPr>
                    <w:ilvl w:val="0"/>
                    <w:numId w:val="12"/>
                  </w:numPr>
                </w:pPr>
                <w:r w:rsidRPr="00BE5CF9">
                  <w:t>$50,000 – funding to offer a scaled back version of Rhythm on the River</w:t>
                </w:r>
              </w:p>
              <w:p w:rsidR="008E1F8B" w:rsidRPr="00BE5CF9" w:rsidP="008E1F8B"/>
              <w:p w:rsidR="008E1F8B" w:rsidRPr="005A3421" w:rsidP="008E1F8B">
                <w:r w:rsidRPr="00BE5CF9">
                  <w:t>This leaves a reduction in Recreation Services 2022 budget at $1,007,792 (when compared to the 2020 budget). Throughout 2022, staff will make program adjustments when revenues begin to rebound and, at that time, will request that Council appropriate additional revenues to reinstate expenditures (programs and activities) in accordance with the City’s Financial Policies. Should revenues decline further than projected, staff will make additional program reductions. One-time funding ($40,000) has been included in the proposed budget to update Recreation’s Master Plan, which was completed in 2015. This update will happen concurrently with the update to the City’s Parks, Recreation Facilities and Trails Master Plan. It is important that Recreation Services keeps up-to-date on the community’s recreation interests in programs, services and events to ensure staff is offering what the community desires.</w:t>
                </w:r>
              </w:p>
              <w:p w:rsidR="008E1F8B" w:rsidRPr="001A3075" w:rsidP="008E1F8B"/>
              <w:p w:rsidR="008E1F8B" w:rsidP="008E1F8B">
                <w:pPr>
                  <w:rPr>
                    <w:b/>
                  </w:rPr>
                </w:pPr>
                <w:r w:rsidRPr="00B37EEC">
                  <w:rPr>
                    <w:b/>
                  </w:rPr>
                  <w:t>LIBRARY</w:t>
                </w:r>
              </w:p>
              <w:p w:rsidR="008E1F8B" w:rsidRPr="00A52DA5" w:rsidP="008E1F8B">
                <w:r w:rsidRPr="00A52DA5">
                  <w:t>Phase II of the Library’s Feasibility Study is underway.  A summary of Phase I of the Study showed that:</w:t>
                </w:r>
              </w:p>
              <w:p w:rsidR="008E1F8B" w:rsidRPr="00A52DA5" w:rsidP="008E1F8B">
                <w:pPr>
                  <w:numPr>
                    <w:ilvl w:val="0"/>
                    <w:numId w:val="11"/>
                  </w:numPr>
                </w:pPr>
                <w:r w:rsidRPr="00A52DA5">
                  <w:t>Overall funding is deficient and impacting services.</w:t>
                </w:r>
              </w:p>
              <w:p w:rsidR="008E1F8B" w:rsidRPr="00A52DA5" w:rsidP="008E1F8B">
                <w:pPr>
                  <w:numPr>
                    <w:ilvl w:val="0"/>
                    <w:numId w:val="11"/>
                  </w:numPr>
                </w:pPr>
                <w:r w:rsidRPr="00A52DA5">
                  <w:t>The building space is too small for a community of this size.</w:t>
                </w:r>
              </w:p>
              <w:p w:rsidR="008E1F8B" w:rsidRPr="00A52DA5" w:rsidP="008E1F8B">
                <w:pPr>
                  <w:numPr>
                    <w:ilvl w:val="0"/>
                    <w:numId w:val="11"/>
                  </w:numPr>
                </w:pPr>
                <w:r w:rsidRPr="00A52DA5">
                  <w:t>Library funding and resources are below average when compared to peer communities in other areas such as staff and professional librarians per capita, annual hours, holdings per capita (especially digital), dedicated spaces for public use and study, and availability of new technologies and tech instruction.</w:t>
                </w:r>
              </w:p>
              <w:p w:rsidR="008E1F8B" w:rsidRPr="00A52DA5" w:rsidP="008E1F8B">
                <w:pPr>
                  <w:numPr>
                    <w:ilvl w:val="0"/>
                    <w:numId w:val="11"/>
                  </w:numPr>
                </w:pPr>
                <w:r w:rsidRPr="00A52DA5">
                  <w:t>Lack of parking and a single location may hinder access for some in the community.</w:t>
                </w:r>
              </w:p>
              <w:p w:rsidR="008E1F8B" w:rsidRPr="00A52DA5" w:rsidP="008E1F8B"/>
              <w:p w:rsidR="008E1F8B" w:rsidRPr="00A52DA5" w:rsidP="008E1F8B">
                <w:r w:rsidRPr="00A52DA5">
                  <w:t>Phase II of the Feasibility Study will include detailed financial modeling addressing what it will take to provide Longmont cardholders with a modern library, and different models to produce the funding needed to do so.</w:t>
                </w:r>
              </w:p>
              <w:p w:rsidR="008E1F8B" w:rsidRPr="00A52DA5" w:rsidP="008E1F8B"/>
              <w:p w:rsidR="008E1F8B" w:rsidRPr="00A52DA5" w:rsidP="008E1F8B">
                <w:r w:rsidRPr="00A52DA5">
                  <w:t>The 2022 proposed budget begins to address some of the needs identified in Phase 1 of the Feasibility Study.</w:t>
                </w:r>
              </w:p>
              <w:p w:rsidR="008E1F8B" w:rsidRPr="00A52DA5" w:rsidP="008E1F8B">
                <w:pPr>
                  <w:numPr>
                    <w:ilvl w:val="0"/>
                    <w:numId w:val="10"/>
                  </w:numPr>
                </w:pPr>
                <w:r w:rsidRPr="00A52DA5">
                  <w:t>Providing access to the internet outside of the Library by including ongoing funding to maintain service contracts for the Library’s 80 hotspots.</w:t>
                </w:r>
              </w:p>
              <w:p w:rsidR="008E1F8B" w:rsidRPr="00A52DA5" w:rsidP="008E1F8B">
                <w:pPr>
                  <w:numPr>
                    <w:ilvl w:val="0"/>
                    <w:numId w:val="10"/>
                  </w:numPr>
                </w:pPr>
                <w:r w:rsidRPr="00A52DA5">
                  <w:t>Reinstating the Prospector lending service to continue providing patrons with access to the internet and to materials outside of our consortium, without need for more collection space.</w:t>
                </w:r>
              </w:p>
              <w:p w:rsidR="008E1F8B" w:rsidRPr="00A52DA5" w:rsidP="008E1F8B">
                <w:pPr>
                  <w:numPr>
                    <w:ilvl w:val="0"/>
                    <w:numId w:val="10"/>
                  </w:numPr>
                </w:pPr>
                <w:r w:rsidRPr="00A52DA5">
                  <w:t xml:space="preserve">Funding costs for pre-processing library materials by Library vendors to help materials get to patrons more quickly; this will allow the Library to repurpose staff time currently doing those tasks to other areas in Library operations.  </w:t>
                </w:r>
              </w:p>
              <w:p w:rsidR="008E1F8B" w:rsidRPr="00A52DA5" w:rsidP="008E1F8B">
                <w:pPr>
                  <w:numPr>
                    <w:ilvl w:val="0"/>
                    <w:numId w:val="10"/>
                  </w:numPr>
                </w:pPr>
                <w:r>
                  <w:t xml:space="preserve">Funding </w:t>
                </w:r>
                <w:r w:rsidRPr="00A52DA5">
                  <w:t>a Librarian I Bilingual Outreach Coordinator, who will play an integral role in organizing and expanding</w:t>
                </w:r>
                <w:r>
                  <w:t xml:space="preserve"> the Library’s </w:t>
                </w:r>
                <w:r w:rsidRPr="00A52DA5">
                  <w:t xml:space="preserve">outreach efforts to parts of the community </w:t>
                </w:r>
                <w:r>
                  <w:t xml:space="preserve">who are currently underserved. </w:t>
                </w:r>
                <w:r w:rsidRPr="00A52DA5">
                  <w:t xml:space="preserve">It was evident from Phase I that many people do not know what the Library has to offer.  </w:t>
                </w:r>
              </w:p>
              <w:p w:rsidR="008E1F8B" w:rsidP="008E1F8B"/>
              <w:p w:rsidR="008E1F8B" w:rsidRPr="00B37EEC" w:rsidP="008E1F8B">
                <w:pPr>
                  <w:rPr>
                    <w:b/>
                  </w:rPr>
                </w:pPr>
                <w:r w:rsidRPr="00B37EEC">
                  <w:rPr>
                    <w:b/>
                  </w:rPr>
                  <w:t>SOCIAL EQUITY</w:t>
                </w:r>
              </w:p>
              <w:p w:rsidR="008E1F8B" w:rsidRPr="000B4B82" w:rsidP="008E1F8B">
                <w:r w:rsidRPr="00D9468C">
                  <w:t xml:space="preserve">Understanding equity and </w:t>
                </w:r>
                <w:r>
                  <w:t xml:space="preserve">considering </w:t>
                </w:r>
                <w:r w:rsidRPr="00D9468C">
                  <w:t>it as</w:t>
                </w:r>
                <w:r>
                  <w:t xml:space="preserve"> a</w:t>
                </w:r>
                <w:r w:rsidRPr="00D9468C">
                  <w:t xml:space="preserve"> foundational value became even more apparent, as the COVID pandemic exposed long-standing disparities in all areas. The importance of addressing equity within major institutions is critical to the resilience of all communities. The city, as an organization, had already begun to focus on equity and making it a foundational value in its approach to service delivery</w:t>
                </w:r>
                <w:r>
                  <w:t xml:space="preserve"> and resource allocation</w:t>
                </w:r>
                <w:r w:rsidRPr="00D9468C">
                  <w:t xml:space="preserve">. This commitment to access and equity within the city organization and the Longmont community has been invaluable at this time and has helped to identify and address </w:t>
                </w:r>
                <w:r>
                  <w:t xml:space="preserve">resource </w:t>
                </w:r>
                <w:r w:rsidRPr="00D9468C">
                  <w:t xml:space="preserve">barriers and provide equitable service. As Longmont grows in size and diversity, access and equity will be vitally important to community health. </w:t>
                </w:r>
              </w:p>
              <w:p w:rsidR="008E1F8B" w:rsidP="008E1F8B"/>
              <w:p w:rsidR="008E1F8B" w:rsidP="008E1F8B">
                <w:r>
                  <w:t>In the 2022 proposed budget, two new full-time positions are proposed to be added to Community and Neighborhood Resources: a Neighborhood Resource Coordinator and a Social Equity Coordinator. These two positions will be instrumental in advancing the City’s equity initiative and goals. The Neighborhood Resource Coordinator will help us proactively build relationships and connections with neighborhoods that have multiple access barriers and health challenges and to help transform them into resilient and sustainable neighborhoods. The Social Equity Coordinator is essential to establish and sustain a social equity focus throughout the city organization and community. This position will lead efforts to operationalize equity principles and goals that the City has established into visible actions that ensure equitable access to resources and services for all.  In addition to these positions, $25,000 in one-time funds are allocated for equity training for city staff.</w:t>
                </w:r>
              </w:p>
              <w:p w:rsidR="008E1F8B" w:rsidRPr="001A3075" w:rsidP="008E1F8B"/>
              <w:p w:rsidR="001A3075" w:rsidP="00F70A44">
                <w:pPr>
                  <w:rPr>
                    <w:b/>
                  </w:rPr>
                </w:pPr>
                <w:r w:rsidRPr="001A3075">
                  <w:rPr>
                    <w:b/>
                  </w:rPr>
                  <w:t>SUSTAINABILITY</w:t>
                </w:r>
              </w:p>
              <w:p w:rsidR="00675A4D" w:rsidRPr="00410043" w:rsidP="00675A4D">
                <w:pPr>
                  <w:rPr>
                    <w:rFonts w:ascii="SimSun" w:hAnsi="SimSun"/>
                    <w:iCs/>
                  </w:rPr>
                </w:pPr>
                <w:r w:rsidRPr="00410043">
                  <w:rPr>
                    <w:rFonts w:hint="eastAsia"/>
                    <w:iCs/>
                  </w:rPr>
                  <w:t xml:space="preserve">The role of the Sustainability Program is primarily to manage, track, support and collaborate on the strategies identified in the Sustainability Plan and associated work, which involves a wide range of programs city-wide. In addition, the Sustainability Program leads the education and engagement of the community in a broad range of sustainability topics, and a number of community-based programs such as the Sustainable Business Program, the SOLL program and Sustainable Neighborhood Solutions in collaboration with Community and Neighborhood Resources, and the Neighborhood Impact grant program in partnership with the Longmont Community Foundation. </w:t>
                </w:r>
              </w:p>
              <w:p w:rsidR="00675A4D" w:rsidRPr="00410043" w:rsidP="00675A4D">
                <w:pPr>
                  <w:rPr>
                    <w:iCs/>
                  </w:rPr>
                </w:pPr>
              </w:p>
              <w:p w:rsidR="00675A4D" w:rsidP="00675A4D">
                <w:pPr>
                  <w:spacing w:before="30" w:after="30"/>
                  <w:ind w:left="30" w:right="30"/>
                  <w:rPr>
                    <w:rFonts w:ascii="Tahoma" w:hAnsi="Tahoma" w:cs="Tahoma"/>
                    <w:i/>
                    <w:iCs/>
                    <w:sz w:val="17"/>
                    <w:szCs w:val="17"/>
                  </w:rPr>
                </w:pPr>
                <w:r w:rsidRPr="00410043">
                  <w:rPr>
                    <w:rFonts w:hint="eastAsia"/>
                    <w:iCs/>
                  </w:rPr>
                  <w:t xml:space="preserve">In 2021, a key focus for Sustainability staff has been both leading and supporting the implementation of the near-term recommendations of the Climate Action Recommendations Report, as well as continued work with the Equitable Climate Action Team and the application of the equity checklist. In support of the Sustainability Plan and Climate Action Recommendations Report, the 2022 adopted budget includes the following resources: $25,000 for zero waste efforts; $78,580 for climate action work, including the Equitable Climate Action Team (ECAT), residential outreach, greenhouse gas monitoring and </w:t>
                </w:r>
                <w:r w:rsidRPr="00410043">
                  <w:rPr>
                    <w:rFonts w:hint="eastAsia"/>
                    <w:iCs/>
                  </w:rPr>
                  <w:t>associated work, and the Climate Lecture Series; $76,500 for neighborhood-based programs including SOLL, Sustainable Neighborhood Solutions, the Neighborhood Impact Granting Program and Community Asset Mapping; $18,000 for the Sustainable Business Program; $21,750 for communications and community engagement. In addition, the 2022 budget includes expanding staffing capacity by 1.5 FTE to support greater ability to track, analyze, and report data and metrics, better incorporate equity into sustainability-related programming, and increase neighborhood-based outreach and engagement. The total proposed Sustainability budget for 2022, including salaries, is $1,014,544. The 2022 proposed budget assumes an estimated $150,000 for work funded through the Boulder County Sustainability Tax including the 25% required cash match.</w:t>
                </w:r>
                <w:r>
                  <w:rPr>
                    <w:rFonts w:hint="eastAsia"/>
                    <w:i/>
                    <w:iCs/>
                  </w:rPr>
                  <w:t xml:space="preserve"> </w:t>
                </w:r>
              </w:p>
              <w:p w:rsidR="001A3075" w:rsidP="00F70A44"/>
              <w:p w:rsidR="008C648D" w:rsidRPr="00FA338D" w:rsidP="008C648D">
                <w:pPr>
                  <w:tabs>
                    <w:tab w:val="right" w:pos="10080"/>
                  </w:tabs>
                  <w:rPr>
                    <w:rFonts w:eastAsia="Times New Roman"/>
                    <w:color w:val="000000" w:themeColor="text1"/>
                  </w:rPr>
                </w:pPr>
                <w:r w:rsidRPr="00FA338D">
                  <w:rPr>
                    <w:rFonts w:eastAsia="Times New Roman"/>
                    <w:color w:val="000000" w:themeColor="text1"/>
                  </w:rPr>
                  <w:t>In addition to funding in the Sustainability Program budget, the 202</w:t>
                </w:r>
                <w:r w:rsidRPr="00FA338D" w:rsidR="00FA338D">
                  <w:rPr>
                    <w:rFonts w:eastAsia="Times New Roman"/>
                    <w:color w:val="000000" w:themeColor="text1"/>
                  </w:rPr>
                  <w:t>2</w:t>
                </w:r>
                <w:r w:rsidRPr="00FA338D">
                  <w:rPr>
                    <w:rFonts w:eastAsia="Times New Roman"/>
                    <w:color w:val="000000" w:themeColor="text1"/>
                  </w:rPr>
                  <w:t xml:space="preserve"> budget includes funding for sustainability related efforts through other program operating and capital budgets including:</w:t>
                </w:r>
              </w:p>
              <w:p w:rsidR="00FA338D" w:rsidP="00FA338D">
                <w:pPr>
                  <w:numPr>
                    <w:ilvl w:val="0"/>
                    <w:numId w:val="13"/>
                  </w:numPr>
                  <w:rPr>
                    <w:rFonts w:ascii="Calibri" w:hAnsi="Calibri" w:cs="Calibri"/>
                    <w:color w:val="000000"/>
                  </w:rPr>
                </w:pPr>
                <w:r>
                  <w:rPr>
                    <w:rFonts w:ascii="Calibri" w:hAnsi="Calibri" w:cs="Calibri"/>
                    <w:color w:val="000000"/>
                  </w:rPr>
                  <w:t>PBF225  - Electric Vehicle Charging Stations (for City vehicles) $25,000</w:t>
                </w:r>
              </w:p>
              <w:p w:rsidR="00FA338D" w:rsidP="00FA338D">
                <w:pPr>
                  <w:numPr>
                    <w:ilvl w:val="0"/>
                    <w:numId w:val="14"/>
                  </w:numPr>
                  <w:contextualSpacing/>
                  <w:rPr>
                    <w:rFonts w:ascii="Calibri" w:hAnsi="Calibri" w:cs="Calibri"/>
                    <w:color w:val="000000"/>
                  </w:rPr>
                </w:pPr>
                <w:r>
                  <w:rPr>
                    <w:rFonts w:ascii="Calibri" w:hAnsi="Calibri" w:cs="Calibri"/>
                    <w:color w:val="000000"/>
                  </w:rPr>
                  <w:t>Funding for Flex bus $174,700, VIA $150,000 and RideFree $532,000 and Employee Ecopass $65,000</w:t>
                </w:r>
              </w:p>
              <w:p w:rsidR="00FA338D" w:rsidRPr="00FA338D" w:rsidP="00FA338D">
                <w:pPr>
                  <w:numPr>
                    <w:ilvl w:val="0"/>
                    <w:numId w:val="13"/>
                  </w:numPr>
                  <w:rPr>
                    <w:rFonts w:ascii="Calibri" w:hAnsi="Calibri" w:cs="Calibri"/>
                    <w:color w:val="000000"/>
                  </w:rPr>
                </w:pPr>
                <w:r w:rsidRPr="00FA338D">
                  <w:rPr>
                    <w:rFonts w:ascii="Calibri" w:hAnsi="Calibri" w:cs="Calibri"/>
                    <w:color w:val="000000"/>
                  </w:rPr>
                  <w:t>LPC – Commercial Benchmarking $132,000, Residential Efficiency $180,000, Residential low-income rebates $40,000 and Commercial Efficiency Programs $ $350,000</w:t>
                </w:r>
              </w:p>
              <w:p w:rsidR="00FA338D" w:rsidP="00FA338D">
                <w:pPr>
                  <w:numPr>
                    <w:ilvl w:val="0"/>
                    <w:numId w:val="14"/>
                  </w:numPr>
                  <w:contextualSpacing/>
                  <w:rPr>
                    <w:rFonts w:ascii="Calibri" w:hAnsi="Calibri" w:cs="Calibri"/>
                    <w:color w:val="000000"/>
                  </w:rPr>
                </w:pPr>
                <w:r>
                  <w:rPr>
                    <w:rFonts w:ascii="Calibri" w:hAnsi="Calibri" w:cs="Calibri"/>
                    <w:color w:val="000000"/>
                  </w:rPr>
                  <w:t>Air Quality Monitoring</w:t>
                </w:r>
                <w:r w:rsidRPr="00FA338D">
                  <w:rPr>
                    <w:rFonts w:ascii="Calibri" w:hAnsi="Calibri" w:cs="Calibri"/>
                    <w:color w:val="000000"/>
                  </w:rPr>
                  <w:t xml:space="preserve"> $444,461</w:t>
                </w:r>
              </w:p>
              <w:p w:rsidR="00FA338D" w:rsidP="00FA338D">
                <w:pPr>
                  <w:numPr>
                    <w:ilvl w:val="0"/>
                    <w:numId w:val="14"/>
                  </w:numPr>
                  <w:contextualSpacing/>
                  <w:rPr>
                    <w:rFonts w:ascii="Calibri" w:hAnsi="Calibri" w:cs="Calibri"/>
                    <w:color w:val="000000"/>
                  </w:rPr>
                </w:pPr>
                <w:r>
                  <w:rPr>
                    <w:rFonts w:ascii="Calibri" w:hAnsi="Calibri" w:cs="Calibri"/>
                    <w:color w:val="000000"/>
                  </w:rPr>
                  <w:t>ELE104 – Electric Vehicle Charging Stations (for public charging infrastructure) $50,000</w:t>
                </w:r>
              </w:p>
              <w:p w:rsidR="00FA338D" w:rsidRPr="004F239C" w:rsidP="00FA338D">
                <w:pPr>
                  <w:numPr>
                    <w:ilvl w:val="0"/>
                    <w:numId w:val="14"/>
                  </w:numPr>
                  <w:contextualSpacing/>
                  <w:rPr>
                    <w:rFonts w:ascii="Calibri" w:hAnsi="Calibri" w:cs="Calibri"/>
                    <w:color w:val="000000"/>
                  </w:rPr>
                </w:pPr>
                <w:r w:rsidRPr="004F239C">
                  <w:rPr>
                    <w:rFonts w:ascii="Calibri" w:hAnsi="Calibri" w:cs="Calibri"/>
                    <w:color w:val="000000"/>
                  </w:rPr>
                  <w:t>ELE099 – Advanced Metering Infrastructure $4 million</w:t>
                </w:r>
              </w:p>
              <w:p w:rsidR="00FA338D" w:rsidRPr="004F239C" w:rsidP="00FA338D">
                <w:pPr>
                  <w:numPr>
                    <w:ilvl w:val="0"/>
                    <w:numId w:val="14"/>
                  </w:numPr>
                  <w:contextualSpacing/>
                  <w:rPr>
                    <w:rFonts w:ascii="Calibri" w:hAnsi="Calibri" w:cs="Calibri"/>
                    <w:color w:val="000000"/>
                  </w:rPr>
                </w:pPr>
                <w:r w:rsidRPr="004F239C">
                  <w:rPr>
                    <w:rFonts w:ascii="Calibri" w:hAnsi="Calibri" w:cs="Calibri"/>
                    <w:color w:val="000000"/>
                  </w:rPr>
                  <w:t>ELE044 – Electric Reliability and Grid Modernization $645,000</w:t>
                </w:r>
              </w:p>
              <w:p w:rsidR="00FA338D" w:rsidRPr="004F239C" w:rsidP="00FA338D">
                <w:pPr>
                  <w:numPr>
                    <w:ilvl w:val="0"/>
                    <w:numId w:val="14"/>
                  </w:numPr>
                  <w:contextualSpacing/>
                  <w:rPr>
                    <w:rFonts w:ascii="Calibri" w:hAnsi="Calibri" w:cs="Calibri"/>
                    <w:color w:val="000000"/>
                  </w:rPr>
                </w:pPr>
                <w:r w:rsidRPr="004F239C">
                  <w:rPr>
                    <w:rFonts w:ascii="Calibri" w:hAnsi="Calibri" w:cs="Calibri"/>
                    <w:color w:val="000000"/>
                  </w:rPr>
                  <w:t>ELE103 – Distributed Energy Resources Innovations and Solutions $200,000</w:t>
                </w:r>
              </w:p>
              <w:p w:rsidR="00FA338D" w:rsidRPr="004F239C" w:rsidP="00FA338D">
                <w:pPr>
                  <w:numPr>
                    <w:ilvl w:val="0"/>
                    <w:numId w:val="14"/>
                  </w:numPr>
                  <w:contextualSpacing/>
                  <w:rPr>
                    <w:rFonts w:ascii="Calibri" w:hAnsi="Calibri" w:cs="Calibri"/>
                    <w:color w:val="000000"/>
                  </w:rPr>
                </w:pPr>
                <w:r w:rsidRPr="004F239C">
                  <w:rPr>
                    <w:rFonts w:ascii="Calibri" w:hAnsi="Calibri" w:cs="Calibri"/>
                    <w:color w:val="000000"/>
                  </w:rPr>
                  <w:t xml:space="preserve">Longmont CAReS – Low Income rebate program </w:t>
                </w:r>
                <w:r w:rsidRPr="004F239C" w:rsidR="004F239C">
                  <w:rPr>
                    <w:rFonts w:ascii="Calibri" w:hAnsi="Calibri" w:cs="Calibri"/>
                    <w:color w:val="000000"/>
                  </w:rPr>
                  <w:t>total funding $394,100 (General Fund $250,000 with $140,000 of that a new addition for 2022; $78,600 Electric Utility; $25,000 Water Fund; $5,000 Park and Greenway Fund; $35,520 Sanitation Fund)</w:t>
                </w:r>
              </w:p>
              <w:p w:rsidR="004F239C" w:rsidP="004F239C">
                <w:pPr>
                  <w:ind w:left="720"/>
                  <w:rPr>
                    <w:rFonts w:ascii="Calibri" w:hAnsi="Calibri" w:cs="Calibri"/>
                    <w:color w:val="000000"/>
                    <w:highlight w:val="yellow"/>
                  </w:rPr>
                </w:pPr>
                <w:r w:rsidRPr="004F239C">
                  <w:rPr>
                    <w:rFonts w:ascii="Segoe UI" w:hAnsi="Segoe UI" w:cs="Segoe UI"/>
                    <w:i/>
                    <w:iCs/>
                    <w:sz w:val="22"/>
                    <w:szCs w:val="22"/>
                  </w:rPr>
                  <w:t>**On August 24</w:t>
                </w:r>
                <w:r w:rsidRPr="004F239C">
                  <w:rPr>
                    <w:rFonts w:ascii="Segoe UI" w:hAnsi="Segoe UI" w:cs="Segoe UI"/>
                    <w:i/>
                    <w:iCs/>
                    <w:sz w:val="22"/>
                    <w:szCs w:val="22"/>
                    <w:vertAlign w:val="superscript"/>
                  </w:rPr>
                  <w:t>th</w:t>
                </w:r>
                <w:r w:rsidRPr="004F239C">
                  <w:rPr>
                    <w:rFonts w:ascii="Segoe UI" w:hAnsi="Segoe UI" w:cs="Segoe UI"/>
                    <w:i/>
                    <w:iCs/>
                    <w:sz w:val="22"/>
                    <w:szCs w:val="22"/>
                  </w:rPr>
                  <w:t>, Council directed staff to include a partial rebate of Storm Drainage rates in the Longmont CAReS program for income-qualified households. Staff also proposes that the Waste Management Fee be included in the CAReS program. This fee of $2.96 is charged to all households, and supports waste diversion programs and waste collection at City facilities and events. An ongoing amount of $35,520 in the Sanitation fund allows for</w:t>
                </w:r>
                <w:r>
                  <w:rPr>
                    <w:rFonts w:ascii="Segoe UI" w:hAnsi="Segoe UI" w:cs="Segoe UI"/>
                    <w:i/>
                    <w:iCs/>
                    <w:sz w:val="22"/>
                    <w:szCs w:val="22"/>
                  </w:rPr>
                  <w:t xml:space="preserve"> a rebate of the full amount to participating residents. An ordinance amending the program to include both changes could be introduced October 12th if directed.</w:t>
                </w:r>
              </w:p>
              <w:p w:rsidR="00FA338D" w:rsidP="00FA338D">
                <w:pPr>
                  <w:numPr>
                    <w:ilvl w:val="0"/>
                    <w:numId w:val="14"/>
                  </w:numPr>
                  <w:contextualSpacing/>
                  <w:rPr>
                    <w:rFonts w:ascii="Calibri" w:hAnsi="Calibri" w:cs="Calibri"/>
                    <w:color w:val="000000"/>
                  </w:rPr>
                </w:pPr>
                <w:r>
                  <w:rPr>
                    <w:rFonts w:ascii="Calibri" w:hAnsi="Calibri" w:cs="Calibri"/>
                    <w:color w:val="000000"/>
                  </w:rPr>
                  <w:t>Waste Diversion Programs $2.9 million</w:t>
                </w:r>
              </w:p>
              <w:p w:rsidR="00FA338D" w:rsidP="00FA338D">
                <w:pPr>
                  <w:numPr>
                    <w:ilvl w:val="0"/>
                    <w:numId w:val="14"/>
                  </w:numPr>
                  <w:contextualSpacing/>
                  <w:rPr>
                    <w:rFonts w:ascii="Calibri" w:hAnsi="Calibri" w:cs="Calibri"/>
                    <w:color w:val="000000"/>
                  </w:rPr>
                </w:pPr>
                <w:r>
                  <w:rPr>
                    <w:rFonts w:ascii="Calibri" w:hAnsi="Calibri" w:cs="Calibri"/>
                    <w:color w:val="000000"/>
                  </w:rPr>
                  <w:t>Water Conservation $257,000</w:t>
                </w:r>
              </w:p>
              <w:p w:rsidR="00FA338D" w:rsidRPr="00FA338D" w:rsidP="00FA338D">
                <w:pPr>
                  <w:tabs>
                    <w:tab w:val="right" w:pos="10080"/>
                  </w:tabs>
                  <w:rPr>
                    <w:rFonts w:eastAsia="Times New Roman"/>
                    <w:color w:val="000000" w:themeColor="text1"/>
                    <w:highlight w:val="yellow"/>
                  </w:rPr>
                </w:pPr>
              </w:p>
              <w:p w:rsidR="001A3075" w:rsidP="00F70A44">
                <w:pPr>
                  <w:rPr>
                    <w:b/>
                  </w:rPr>
                </w:pPr>
                <w:r w:rsidRPr="00FA338D">
                  <w:rPr>
                    <w:b/>
                  </w:rPr>
                  <w:t>LDDA BUDGET</w:t>
                </w:r>
              </w:p>
              <w:p w:rsidR="00FA338D" w:rsidRPr="00DD1176" w:rsidP="00FA338D">
                <w:r w:rsidRPr="00DD1176">
                  <w:t>The LDDA prepares and submits a number of budgets annually.  First, for the LDDA itself, there are six individual</w:t>
                </w:r>
                <w:r>
                  <w:t xml:space="preserve"> sub-funds included on pages 542 to 552</w:t>
                </w:r>
                <w:r w:rsidRPr="00DD1176">
                  <w:t>.  They are the DDA operating fund; the DDA construction fund; the DDA debt service fund; the DDA building permit fund or development incentive program (DIP);</w:t>
                </w:r>
                <w:r>
                  <w:t xml:space="preserve"> the DDA Façade Improvement</w:t>
                </w:r>
                <w:r w:rsidRPr="00DD1176">
                  <w:t xml:space="preserve"> fund; and the DDA Arts &amp; Entertainment fund.  Along with those budgets the LDDA also prepares and submits the budget for the </w:t>
                </w:r>
                <w:r>
                  <w:t>Downtown Parking Fund (pages 553-555</w:t>
                </w:r>
                <w:r w:rsidRPr="00DD1176">
                  <w:t>) and the General Im</w:t>
                </w:r>
                <w:r>
                  <w:t>provement District #1 (pages 560-562</w:t>
                </w:r>
                <w:r w:rsidRPr="00DD1176">
                  <w:t>).</w:t>
                </w:r>
              </w:p>
              <w:p w:rsidR="00FA338D" w:rsidRPr="00DD1176" w:rsidP="00FA338D"/>
              <w:p w:rsidR="00FA338D" w:rsidRPr="00DD1176" w:rsidP="00FA338D">
                <w:r>
                  <w:t>The LDDA operating fund proposed budget for 2022</w:t>
                </w:r>
                <w:r w:rsidRPr="00DD1176">
                  <w:t xml:space="preserve"> include</w:t>
                </w:r>
                <w:r>
                  <w:t>s an increase in overall expenses of $29,888 over 2021.  About 30.5</w:t>
                </w:r>
                <w:r w:rsidRPr="00DD1176">
                  <w:t>% of the increase is in perso</w:t>
                </w:r>
                <w:r>
                  <w:t>nal services expenses as in 2022</w:t>
                </w:r>
                <w:r w:rsidRPr="00DD1176">
                  <w:t xml:space="preserve"> there is growth in personal services lines items reflecting increased salary costs and benefits linked to those amounts.  The</w:t>
                </w:r>
                <w:r>
                  <w:t xml:space="preserve">re is a $20,765 increase in O&amp;M expenses with some line items increasing.  </w:t>
                </w:r>
                <w:r w:rsidRPr="004C59AE">
                  <w:t>The largest increase is $15,375 in Professional/contract services related to setup and takedown of the Parklets.</w:t>
                </w:r>
                <w:r>
                  <w:t xml:space="preserve">  </w:t>
                </w:r>
                <w:r w:rsidRPr="00DD1176">
                  <w:t>The proposed budget as presented</w:t>
                </w:r>
                <w:r>
                  <w:t xml:space="preserve"> includes total expenses of $327,019</w:t>
                </w:r>
                <w:r w:rsidRPr="00DD1176">
                  <w:t xml:space="preserve"> with revenue identified to cover all o</w:t>
                </w:r>
                <w:r>
                  <w:t>f the proposed expenses for 2022.  The largest part of that revenue is $275,440 of property tax based on the 2021 projected assessed valuation</w:t>
                </w:r>
                <w:r w:rsidRPr="00DD1176">
                  <w:t xml:space="preserve">.  </w:t>
                </w:r>
                <w:r w:rsidRPr="00CD082B">
                  <w:t>The fund balance of this fund</w:t>
                </w:r>
                <w:r w:rsidRPr="00DD1176">
                  <w:t xml:space="preserve"> is projected to be approxima</w:t>
                </w:r>
                <w:r>
                  <w:t>tely $340,794 by the end of 2022</w:t>
                </w:r>
                <w:r w:rsidRPr="00DD1176">
                  <w:t>.</w:t>
                </w:r>
                <w:r>
                  <w:t xml:space="preserve">  </w:t>
                </w:r>
              </w:p>
              <w:p w:rsidR="00FA338D" w:rsidRPr="00DD1176" w:rsidP="00FA338D"/>
              <w:p w:rsidR="00FA338D" w:rsidRPr="00DD1176" w:rsidP="00FA338D">
                <w:r w:rsidRPr="00DD1176">
                  <w:t xml:space="preserve">The LDDA construction fund is only utilized when there are projects that involve the use of LDDA tax increment dollars.  </w:t>
                </w:r>
                <w:r>
                  <w:t>T</w:t>
                </w:r>
                <w:r w:rsidRPr="00DD1176">
                  <w:t>he LDDA is proposing to fund a nu</w:t>
                </w:r>
                <w:r>
                  <w:t>mber of projects with $185</w:t>
                </w:r>
                <w:r w:rsidRPr="00DD1176">
                  <w:t xml:space="preserve">,000 </w:t>
                </w:r>
                <w:r>
                  <w:t>of tax increment dollars in 2022</w:t>
                </w:r>
                <w:r w:rsidRPr="00DD1176">
                  <w:t>.  These are projects and prioriti</w:t>
                </w:r>
                <w:r>
                  <w:t>es from the</w:t>
                </w:r>
                <w:r w:rsidRPr="00DD1176">
                  <w:t xml:space="preserve"> Downtown Longmont Master Plan of Development. </w:t>
                </w:r>
              </w:p>
              <w:p w:rsidR="00FA338D" w:rsidP="00FA338D">
                <w:pPr>
                  <w:pStyle w:val="NormalWeb"/>
                  <w:spacing w:before="0" w:beforeAutospacing="0" w:after="0" w:afterAutospacing="0"/>
                  <w:jc w:val="both"/>
                </w:pPr>
              </w:p>
              <w:p w:rsidR="00FA338D" w:rsidRPr="00993BA9" w:rsidP="00FA338D">
                <w:pPr>
                  <w:pStyle w:val="NormalWeb"/>
                  <w:numPr>
                    <w:ilvl w:val="0"/>
                    <w:numId w:val="15"/>
                  </w:numPr>
                  <w:spacing w:before="0" w:beforeAutospacing="0" w:after="0" w:afterAutospacing="0"/>
                  <w:jc w:val="both"/>
                  <w:rPr>
                    <w:rFonts w:asciiTheme="minorHAnsi" w:hAnsiTheme="minorHAnsi" w:cstheme="minorHAnsi"/>
                  </w:rPr>
                </w:pPr>
                <w:r w:rsidRPr="00993BA9">
                  <w:rPr>
                    <w:rFonts w:asciiTheme="minorHAnsi" w:hAnsiTheme="minorHAnsi" w:cstheme="minorHAnsi"/>
                  </w:rPr>
                  <w:t>Alley cameras</w:t>
                </w:r>
                <w:r w:rsidRPr="00993BA9">
                  <w:rPr>
                    <w:rFonts w:asciiTheme="minorHAnsi" w:hAnsiTheme="minorHAnsi" w:cstheme="minorHAnsi"/>
                  </w:rPr>
                  <w:tab/>
                </w:r>
                <w:r w:rsidRPr="00993BA9">
                  <w:rPr>
                    <w:rFonts w:asciiTheme="minorHAnsi" w:hAnsiTheme="minorHAnsi" w:cstheme="minorHAnsi"/>
                  </w:rPr>
                  <w:tab/>
                </w:r>
                <w:r w:rsidRPr="00993BA9">
                  <w:rPr>
                    <w:rFonts w:asciiTheme="minorHAnsi" w:hAnsiTheme="minorHAnsi" w:cstheme="minorHAnsi"/>
                  </w:rPr>
                  <w:tab/>
                </w:r>
                <w:r w:rsidRPr="00993BA9">
                  <w:rPr>
                    <w:rFonts w:asciiTheme="minorHAnsi" w:hAnsiTheme="minorHAnsi" w:cstheme="minorHAnsi"/>
                  </w:rPr>
                  <w:tab/>
                  <w:t>$100,000</w:t>
                </w:r>
              </w:p>
              <w:p w:rsidR="00FA338D" w:rsidRPr="00993BA9" w:rsidP="00FA338D">
                <w:pPr>
                  <w:pStyle w:val="NormalWeb"/>
                  <w:numPr>
                    <w:ilvl w:val="0"/>
                    <w:numId w:val="15"/>
                  </w:numPr>
                  <w:spacing w:before="0" w:beforeAutospacing="0" w:after="0" w:afterAutospacing="0"/>
                  <w:jc w:val="both"/>
                  <w:rPr>
                    <w:rFonts w:asciiTheme="minorHAnsi" w:hAnsiTheme="minorHAnsi" w:cstheme="minorHAnsi"/>
                  </w:rPr>
                </w:pPr>
                <w:r w:rsidRPr="00993BA9">
                  <w:rPr>
                    <w:rFonts w:asciiTheme="minorHAnsi" w:hAnsiTheme="minorHAnsi" w:cstheme="minorHAnsi"/>
                  </w:rPr>
                  <w:t>Pedestrian metrics</w:t>
                </w:r>
                <w:r w:rsidRPr="00993BA9">
                  <w:rPr>
                    <w:rFonts w:asciiTheme="minorHAnsi" w:hAnsiTheme="minorHAnsi" w:cstheme="minorHAnsi"/>
                  </w:rPr>
                  <w:tab/>
                </w:r>
                <w:r w:rsidRPr="00993BA9">
                  <w:rPr>
                    <w:rFonts w:asciiTheme="minorHAnsi" w:hAnsiTheme="minorHAnsi" w:cstheme="minorHAnsi"/>
                  </w:rPr>
                  <w:tab/>
                </w:r>
                <w:r w:rsidRPr="00993BA9">
                  <w:rPr>
                    <w:rFonts w:asciiTheme="minorHAnsi" w:hAnsiTheme="minorHAnsi" w:cstheme="minorHAnsi"/>
                  </w:rPr>
                  <w:tab/>
                  <w:t xml:space="preserve">    10,000</w:t>
                </w:r>
              </w:p>
              <w:p w:rsidR="00FA338D" w:rsidRPr="00993BA9" w:rsidP="00FA338D">
                <w:pPr>
                  <w:pStyle w:val="NormalWeb"/>
                  <w:numPr>
                    <w:ilvl w:val="0"/>
                    <w:numId w:val="15"/>
                  </w:numPr>
                  <w:spacing w:before="0" w:beforeAutospacing="0" w:after="0" w:afterAutospacing="0"/>
                  <w:jc w:val="both"/>
                  <w:rPr>
                    <w:rFonts w:asciiTheme="minorHAnsi" w:hAnsiTheme="minorHAnsi" w:cstheme="minorHAnsi"/>
                  </w:rPr>
                </w:pPr>
                <w:r w:rsidRPr="00993BA9">
                  <w:rPr>
                    <w:rFonts w:asciiTheme="minorHAnsi" w:hAnsiTheme="minorHAnsi" w:cstheme="minorHAnsi"/>
                  </w:rPr>
                  <w:t>Mural/cultural project</w:t>
                </w:r>
                <w:r w:rsidRPr="00993BA9">
                  <w:rPr>
                    <w:rFonts w:asciiTheme="minorHAnsi" w:hAnsiTheme="minorHAnsi" w:cstheme="minorHAnsi"/>
                  </w:rPr>
                  <w:tab/>
                </w:r>
                <w:r w:rsidRPr="00993BA9">
                  <w:rPr>
                    <w:rFonts w:asciiTheme="minorHAnsi" w:hAnsiTheme="minorHAnsi" w:cstheme="minorHAnsi"/>
                  </w:rPr>
                  <w:tab/>
                  <w:t xml:space="preserve">    15,000</w:t>
                </w:r>
              </w:p>
              <w:p w:rsidR="00FA338D" w:rsidRPr="00993BA9" w:rsidP="00FA338D">
                <w:pPr>
                  <w:pStyle w:val="NormalWeb"/>
                  <w:numPr>
                    <w:ilvl w:val="0"/>
                    <w:numId w:val="15"/>
                  </w:numPr>
                  <w:spacing w:before="0" w:beforeAutospacing="0" w:after="0" w:afterAutospacing="0"/>
                  <w:jc w:val="both"/>
                  <w:rPr>
                    <w:rFonts w:asciiTheme="minorHAnsi" w:hAnsiTheme="minorHAnsi" w:cstheme="minorHAnsi"/>
                  </w:rPr>
                </w:pPr>
                <w:r w:rsidRPr="00993BA9">
                  <w:rPr>
                    <w:rFonts w:asciiTheme="minorHAnsi" w:hAnsiTheme="minorHAnsi" w:cstheme="minorHAnsi"/>
                  </w:rPr>
                  <w:t>Parking study update</w:t>
                </w:r>
                <w:r w:rsidRPr="00993BA9">
                  <w:rPr>
                    <w:rFonts w:asciiTheme="minorHAnsi" w:hAnsiTheme="minorHAnsi" w:cstheme="minorHAnsi"/>
                  </w:rPr>
                  <w:tab/>
                </w:r>
                <w:r w:rsidRPr="00993BA9">
                  <w:rPr>
                    <w:rFonts w:asciiTheme="minorHAnsi" w:hAnsiTheme="minorHAnsi" w:cstheme="minorHAnsi"/>
                  </w:rPr>
                  <w:tab/>
                </w:r>
                <w:r w:rsidRPr="00993BA9">
                  <w:rPr>
                    <w:rFonts w:asciiTheme="minorHAnsi" w:hAnsiTheme="minorHAnsi" w:cstheme="minorHAnsi"/>
                  </w:rPr>
                  <w:tab/>
                  <w:t xml:space="preserve">    25,000</w:t>
                </w:r>
              </w:p>
              <w:p w:rsidR="00FA338D" w:rsidRPr="00993BA9" w:rsidP="00FA338D">
                <w:pPr>
                  <w:pStyle w:val="NormalWeb"/>
                  <w:numPr>
                    <w:ilvl w:val="0"/>
                    <w:numId w:val="15"/>
                  </w:numPr>
                  <w:spacing w:before="0" w:beforeAutospacing="0" w:after="0" w:afterAutospacing="0"/>
                  <w:jc w:val="both"/>
                  <w:rPr>
                    <w:rFonts w:asciiTheme="minorHAnsi" w:hAnsiTheme="minorHAnsi" w:cstheme="minorHAnsi"/>
                  </w:rPr>
                </w:pPr>
                <w:r w:rsidRPr="00993BA9">
                  <w:rPr>
                    <w:rFonts w:asciiTheme="minorHAnsi" w:hAnsiTheme="minorHAnsi" w:cstheme="minorHAnsi"/>
                  </w:rPr>
                  <w:t>Parklet maintenance</w:t>
                </w:r>
                <w:r w:rsidRPr="00993BA9">
                  <w:rPr>
                    <w:rFonts w:asciiTheme="minorHAnsi" w:hAnsiTheme="minorHAnsi" w:cstheme="minorHAnsi"/>
                  </w:rPr>
                  <w:tab/>
                </w:r>
                <w:r w:rsidRPr="00993BA9">
                  <w:rPr>
                    <w:rFonts w:asciiTheme="minorHAnsi" w:hAnsiTheme="minorHAnsi" w:cstheme="minorHAnsi"/>
                  </w:rPr>
                  <w:tab/>
                </w:r>
                <w:r w:rsidRPr="00993BA9">
                  <w:rPr>
                    <w:rFonts w:asciiTheme="minorHAnsi" w:hAnsiTheme="minorHAnsi" w:cstheme="minorHAnsi"/>
                  </w:rPr>
                  <w:tab/>
                  <w:t xml:space="preserve">    10,000</w:t>
                </w:r>
                <w:r w:rsidRPr="00993BA9">
                  <w:rPr>
                    <w:rFonts w:asciiTheme="minorHAnsi" w:hAnsiTheme="minorHAnsi" w:cstheme="minorHAnsi"/>
                  </w:rPr>
                  <w:tab/>
                </w:r>
              </w:p>
              <w:p w:rsidR="00993BA9" w:rsidP="00993BA9">
                <w:pPr>
                  <w:pStyle w:val="NormalWeb"/>
                  <w:numPr>
                    <w:ilvl w:val="0"/>
                    <w:numId w:val="15"/>
                  </w:numPr>
                  <w:spacing w:before="0" w:beforeAutospacing="0" w:after="0" w:afterAutospacing="0"/>
                  <w:jc w:val="both"/>
                  <w:rPr>
                    <w:rFonts w:asciiTheme="minorHAnsi" w:hAnsiTheme="minorHAnsi" w:cstheme="minorHAnsi"/>
                  </w:rPr>
                </w:pPr>
                <w:r w:rsidRPr="00993BA9">
                  <w:rPr>
                    <w:rFonts w:asciiTheme="minorHAnsi" w:hAnsiTheme="minorHAnsi" w:cstheme="minorHAnsi"/>
                  </w:rPr>
                  <w:t>Economic vitality</w:t>
                </w:r>
                <w:r w:rsidRPr="00993BA9">
                  <w:rPr>
                    <w:rFonts w:asciiTheme="minorHAnsi" w:hAnsiTheme="minorHAnsi" w:cstheme="minorHAnsi"/>
                  </w:rPr>
                  <w:tab/>
                </w:r>
                <w:r w:rsidRPr="00993BA9">
                  <w:rPr>
                    <w:rFonts w:asciiTheme="minorHAnsi" w:hAnsiTheme="minorHAnsi" w:cstheme="minorHAnsi"/>
                  </w:rPr>
                  <w:tab/>
                </w:r>
                <w:r w:rsidRPr="00993BA9">
                  <w:rPr>
                    <w:rFonts w:asciiTheme="minorHAnsi" w:hAnsiTheme="minorHAnsi" w:cstheme="minorHAnsi"/>
                  </w:rPr>
                  <w:tab/>
                </w:r>
                <w:r w:rsidRPr="00993BA9">
                  <w:rPr>
                    <w:rFonts w:asciiTheme="minorHAnsi" w:hAnsiTheme="minorHAnsi" w:cstheme="minorHAnsi"/>
                    <w:u w:val="single"/>
                  </w:rPr>
                  <w:t xml:space="preserve">    25,000</w:t>
                </w:r>
                <w:r w:rsidRPr="00993BA9">
                  <w:rPr>
                    <w:rFonts w:asciiTheme="minorHAnsi" w:hAnsiTheme="minorHAnsi" w:cstheme="minorHAnsi"/>
                  </w:rPr>
                  <w:tab/>
                </w:r>
              </w:p>
              <w:p w:rsidR="00FA338D" w:rsidRPr="00993BA9" w:rsidP="00993BA9">
                <w:pPr>
                  <w:pStyle w:val="NormalWeb"/>
                  <w:spacing w:before="0" w:beforeAutospacing="0" w:after="0" w:afterAutospacing="0"/>
                  <w:ind w:left="360"/>
                  <w:jc w:val="both"/>
                  <w:rPr>
                    <w:rFonts w:asciiTheme="minorHAnsi" w:hAnsiTheme="minorHAnsi" w:cstheme="minorHAnsi"/>
                  </w:rPr>
                </w:pPr>
                <w:r>
                  <w:rPr>
                    <w:rFonts w:asciiTheme="minorHAnsi" w:hAnsiTheme="minorHAnsi" w:cstheme="minorHAnsi"/>
                  </w:rPr>
                  <w:t xml:space="preserve">                                                                         </w:t>
                </w:r>
                <w:r w:rsidRPr="00993BA9">
                  <w:rPr>
                    <w:rFonts w:asciiTheme="minorHAnsi" w:hAnsiTheme="minorHAnsi" w:cstheme="minorHAnsi"/>
                  </w:rPr>
                  <w:t>$</w:t>
                </w:r>
                <w:r w:rsidRPr="00993BA9">
                  <w:rPr>
                    <w:rFonts w:asciiTheme="minorHAnsi" w:hAnsiTheme="minorHAnsi" w:cstheme="minorHAnsi"/>
                  </w:rPr>
                  <w:t>185,000</w:t>
                </w:r>
              </w:p>
              <w:p w:rsidR="00FA338D" w:rsidP="00FA338D">
                <w:pPr>
                  <w:pStyle w:val="NormalWeb"/>
                  <w:spacing w:before="0" w:beforeAutospacing="0" w:after="0" w:afterAutospacing="0"/>
                  <w:ind w:left="7200"/>
                  <w:jc w:val="both"/>
                </w:pPr>
              </w:p>
              <w:p w:rsidR="00FA338D" w:rsidRPr="00DD1176" w:rsidP="00FA338D">
                <w:r w:rsidRPr="00DD1176">
                  <w:t>The construction fund a</w:t>
                </w:r>
                <w:r>
                  <w:t>lso has $32,900</w:t>
                </w:r>
                <w:r w:rsidRPr="00DD1176">
                  <w:t xml:space="preserve"> of operation expense to cover project management of the CIP projects.</w:t>
                </w:r>
                <w:r>
                  <w:t xml:space="preserve">  The LDDA implements</w:t>
                </w:r>
                <w:r w:rsidRPr="00DD1176">
                  <w:t xml:space="preserve"> project management fees to allocate some staff time against the TIF projects that they support. Over the course of each TIF project a 4% management fee is applied to the total proje</w:t>
                </w:r>
                <w:r>
                  <w:t>ct cost.   Finally, there is $58,742</w:t>
                </w:r>
                <w:r w:rsidRPr="00DD1176">
                  <w:t xml:space="preserve"> for the annual cost for infrastructure renewal &amp; replacement. A loan of tax increment dollars from the Debt Service Fund to the Construction Fund will be nee</w:t>
                </w:r>
                <w:r>
                  <w:t>ded in 2022</w:t>
                </w:r>
                <w:r w:rsidRPr="00DD1176">
                  <w:t xml:space="preserve"> to provide the funding for these projects.  </w:t>
                </w:r>
                <w:r>
                  <w:t>There is also $58,400 of parking fee revenue from the Roosevelt Apartments parking garage.</w:t>
                </w:r>
              </w:p>
              <w:p w:rsidR="00FA338D" w:rsidRPr="00DD1176" w:rsidP="00FA338D"/>
              <w:p w:rsidR="00FA338D" w:rsidRPr="00DD1176" w:rsidP="00FA338D">
                <w:r w:rsidRPr="00DD1176">
                  <w:t xml:space="preserve">The final payment on the tax increment financing (TIF) bonds issued in 1998 was made in December of 2008.  In order to have the tax increment stream of revenue continue as allowed by statute a new debt was established in 2007 by creating an interfund debt to finance the use of TIF dollars (which can only be used to pay debt) for 2008.  That debt is maintained so that the TIF </w:t>
                </w:r>
                <w:r>
                  <w:t>revenue can continue.   For 2022</w:t>
                </w:r>
                <w:r w:rsidRPr="00DD1176">
                  <w:t>, the budget for the DDA debt service fund c</w:t>
                </w:r>
                <w:r>
                  <w:t>alls for the use of $218,242</w:t>
                </w:r>
                <w:r w:rsidRPr="00DD1176">
                  <w:t xml:space="preserve"> of TIF dollars to fund the projects and the project management fees as referenced for the Construction Fund a</w:t>
                </w:r>
                <w:r>
                  <w:t>bove.  There is also another $375,304</w:t>
                </w:r>
                <w:r w:rsidRPr="00DD1176">
                  <w:t xml:space="preserve"> budgeted to repay a loan to provide funding for the DDA Arts &amp; Entertainment Fund</w:t>
                </w:r>
                <w:r>
                  <w:t xml:space="preserve"> for 2022.   TIF revenue in 2022 is projected at $1,342,000</w:t>
                </w:r>
                <w:r w:rsidRPr="00DD1176">
                  <w:t>.</w:t>
                </w:r>
              </w:p>
              <w:p w:rsidR="00FA338D" w:rsidRPr="00DD1176" w:rsidP="00FA338D"/>
              <w:p w:rsidR="00FA338D" w:rsidRPr="00DD1176" w:rsidP="00FA338D">
                <w:r w:rsidRPr="00DD1176">
                  <w:t>The LDDA Building Permit Fund administers the Development Improvement Program (DIP).  Revenues come from fees on building permits from construction projects in the DDA area.  Under an IGA, the City transfers an amount equal to these fees to the DDA DIP Fund for downtown improvem</w:t>
                </w:r>
                <w:r>
                  <w:t>ent projects.  The proposed 2022 budget includes $50</w:t>
                </w:r>
                <w:r w:rsidRPr="00DD1176">
                  <w:t>,00</w:t>
                </w:r>
                <w:r>
                  <w:t>0 of revenues for the program to</w:t>
                </w:r>
                <w:r w:rsidRPr="00DD1176">
                  <w:t xml:space="preserve"> cover a projected</w:t>
                </w:r>
                <w:r>
                  <w:t xml:space="preserve"> $70,0</w:t>
                </w:r>
                <w:r w:rsidRPr="00DD1176">
                  <w:t xml:space="preserve">00 of program grants.  </w:t>
                </w:r>
              </w:p>
              <w:p w:rsidR="00FA338D" w:rsidRPr="00DD1176" w:rsidP="00FA338D"/>
              <w:p w:rsidR="00FA338D" w:rsidRPr="00DD1176" w:rsidP="00FA338D">
                <w:r w:rsidRPr="00DD1176">
                  <w:t xml:space="preserve">The LDDA Façade Improvement Program is administered from the Façade Improvement Program Fund.  There are no expenses for this fund included </w:t>
                </w:r>
                <w:r>
                  <w:t>in this proposed budget for 2022</w:t>
                </w:r>
                <w:r w:rsidRPr="00DD1176">
                  <w:t>.</w:t>
                </w:r>
              </w:p>
              <w:p w:rsidR="00FA338D" w:rsidRPr="00DD1176" w:rsidP="00FA338D"/>
              <w:p w:rsidR="00FA338D" w:rsidRPr="00DD1176" w:rsidP="00FA338D">
                <w:r w:rsidRPr="00DD1176">
                  <w:t xml:space="preserve">Since 2007 the LDDA has used TIF funds to fund a marketing and advertising program to fund business recruitment, marketing, branding, special events and promotion for the downtown.  The DDA Arts &amp; Entertainment Fund was created during 2011 and funded through TIF revenues as well for a variety of program expenses. In 2014 the two programs were combined into the Arts &amp; Entertainment Fund.  At that time, operations were changed removing marketing and event operations from the day to day responsibilities of staff with them instead being accomplished through the use of professional contracts, sponsorships and </w:t>
                </w:r>
                <w:r>
                  <w:t>partnerships.  The proposed 2022</w:t>
                </w:r>
                <w:r w:rsidRPr="00DD1176">
                  <w:t xml:space="preserve"> budget for the Arts</w:t>
                </w:r>
                <w:r>
                  <w:t xml:space="preserve"> &amp; Entertainment Fund of $413,804 includes $148,634 for salary &amp; benefits for 1.42</w:t>
                </w:r>
                <w:r w:rsidRPr="00DD1176">
                  <w:t xml:space="preserve"> FTE and</w:t>
                </w:r>
                <w:r>
                  <w:t xml:space="preserve"> temporary staff wages.  The budget also includes $265,170</w:t>
                </w:r>
                <w:r w:rsidRPr="00DD1176">
                  <w:t xml:space="preserve"> for program expenses including $1</w:t>
                </w:r>
                <w:r>
                  <w:t>61,1</w:t>
                </w:r>
                <w:r w:rsidRPr="00DD1176">
                  <w:t>00 for contract services</w:t>
                </w:r>
                <w:r>
                  <w:t xml:space="preserve"> which funds event related expenses and the holiday lights downtown</w:t>
                </w:r>
                <w:r w:rsidRPr="00DD1176">
                  <w:t>.  The Arts &amp; Entertainment Fund fund</w:t>
                </w:r>
                <w:r>
                  <w:t xml:space="preserve"> balance is expected to end 2022</w:t>
                </w:r>
                <w:r w:rsidRPr="00DD1176">
                  <w:t xml:space="preserve"> wi</w:t>
                </w:r>
                <w:r>
                  <w:t>th a balance of approximately $54,458.  This budget proposes to fund the proposed 2022</w:t>
                </w:r>
                <w:r w:rsidRPr="00DD1176">
                  <w:t xml:space="preserve"> expenses with new TIF funds </w:t>
                </w:r>
                <w:r>
                  <w:t>of $375,304.  This amount</w:t>
                </w:r>
                <w:r w:rsidRPr="00DD1176">
                  <w:t xml:space="preserve"> will combine with program revenues and $5,000 from the City for holiday lights to fund the total proposed budget for t</w:t>
                </w:r>
                <w:r>
                  <w:t>he Arts &amp; Entertainment for 2022</w:t>
                </w:r>
                <w:r w:rsidRPr="00DD1176">
                  <w:t>.</w:t>
                </w:r>
              </w:p>
              <w:p w:rsidR="00FA338D" w:rsidRPr="00DD1176" w:rsidP="00FA338D"/>
              <w:p w:rsidR="00FA338D" w:rsidRPr="00DD1176" w:rsidP="00FA338D">
                <w:r w:rsidRPr="00DD1176">
                  <w:t>The Downtown Parking Fund is a City fund that is administered by the LDDA.  Parking permits are the primary source of revenue for this fu</w:t>
                </w:r>
                <w:r>
                  <w:t>nd amounting to $79,000 for 2022</w:t>
                </w:r>
                <w:r w:rsidRPr="00DD1176">
                  <w:t xml:space="preserve">.   </w:t>
                </w:r>
                <w:r>
                  <w:t xml:space="preserve">That is down from actual parking permit revenue of $111,395 in 2019. </w:t>
                </w:r>
                <w:r w:rsidRPr="00DD1176">
                  <w:t xml:space="preserve"> The budget for the Downtown Parkin</w:t>
                </w:r>
                <w:r>
                  <w:t xml:space="preserve">g Fund can be found on pages 554 &amp; 555.  Expenditures during 2022 total </w:t>
                </w:r>
                <w:r>
                  <w:t>$99,572</w:t>
                </w:r>
                <w:r w:rsidRPr="00DD1176">
                  <w:t xml:space="preserve"> for parking lot upkeep and upgrades.  The fund balance of t</w:t>
                </w:r>
                <w:r>
                  <w:t>his fund is projected to be $229,210 by the end of 2022</w:t>
                </w:r>
                <w:r w:rsidRPr="00DD1176">
                  <w:t>.</w:t>
                </w:r>
              </w:p>
              <w:p w:rsidR="00FA338D" w:rsidRPr="00DD1176" w:rsidP="00FA338D"/>
              <w:p w:rsidR="00FA338D" w:rsidRPr="00DD1176" w:rsidP="00FA338D">
                <w:r w:rsidRPr="00DD1176">
                  <w:t>The General Improvement District #1 budget is also proposed by the LDDA.  That can</w:t>
                </w:r>
                <w:r>
                  <w:t xml:space="preserve"> be found on pages 560-562</w:t>
                </w:r>
                <w:r w:rsidRPr="00DD1176">
                  <w:t xml:space="preserve">.  As shown in proposed budget document </w:t>
                </w:r>
                <w:r>
                  <w:t>the GID includes revenue of $166,055 and expenses of $151,350.  Based on projected</w:t>
                </w:r>
                <w:r w:rsidRPr="00DD1176">
                  <w:t xml:space="preserve"> assessed valuation data the r</w:t>
                </w:r>
                <w:r>
                  <w:t>evenue estimates were set as $157,505</w:t>
                </w:r>
                <w:r w:rsidRPr="00DD1176">
                  <w:t xml:space="preserve"> from property tax from the GID mill levy.  </w:t>
                </w:r>
                <w:r w:rsidRPr="00CD082B">
                  <w:t>The fund balance of this fund is p</w:t>
                </w:r>
                <w:r>
                  <w:t>rojected to be approximately $280,836 by the end of 2022</w:t>
                </w:r>
                <w:r w:rsidRPr="00DD1176">
                  <w:t>.</w:t>
                </w:r>
              </w:p>
              <w:p w:rsidR="00FA338D" w:rsidRPr="00DD1176" w:rsidP="00FA338D"/>
              <w:p w:rsidR="00FA338D" w:rsidRPr="00C609C4" w:rsidP="00FA338D">
                <w:r w:rsidRPr="00285BC7">
                  <w:t>The Arts &amp; Entertainment District, now known as the Downtown Longmont Creative District, is an i</w:t>
                </w:r>
                <w:r>
                  <w:t>ntegral part of redeveloping the</w:t>
                </w:r>
                <w:r w:rsidRPr="00285BC7">
                  <w:t xml:space="preserve"> Downtown area for the comm</w:t>
                </w:r>
                <w:r>
                  <w:t xml:space="preserve">unity. The LDDA has used resources from the state designation </w:t>
                </w:r>
                <w:r w:rsidRPr="00285BC7">
                  <w:t>to create Downtown Longmont Community Ventures (Ventures), a non-profit organization with a mission to promote Downtown vibrancy through arts, culture an</w:t>
                </w:r>
                <w:r>
                  <w:t>d economic development. This organization is</w:t>
                </w:r>
                <w:r w:rsidRPr="00285BC7">
                  <w:t xml:space="preserve"> charged with finding diversified funding streams, sponsorships and stakeholder en</w:t>
                </w:r>
                <w:r>
                  <w:t xml:space="preserve">gagement, as well as supporting </w:t>
                </w:r>
                <w:r w:rsidRPr="00285BC7">
                  <w:t>implementation of the Arts &amp; Entertainment District plan.</w:t>
                </w:r>
                <w:r>
                  <w:t xml:space="preserve">  </w:t>
                </w:r>
                <w:r w:rsidRPr="00285BC7">
                  <w:t>Currently, Ventur</w:t>
                </w:r>
                <w:r>
                  <w:t>es is being managed by LDDA</w:t>
                </w:r>
                <w:r w:rsidRPr="00285BC7">
                  <w:t xml:space="preserve"> staff and a volunteer board of directors, as well as direction and assistance from the Longmont Community Foundation. </w:t>
                </w:r>
                <w:r>
                  <w:t>T</w:t>
                </w:r>
                <w:r w:rsidRPr="00C609C4">
                  <w:t>he goal is to transition all LDDA/Creative District programming and implementation to this organization.</w:t>
                </w:r>
              </w:p>
              <w:p w:rsidR="00FA338D" w:rsidRPr="00A54C6B" w:rsidP="00FA338D">
                <w:pPr>
                  <w:pStyle w:val="NormalWeb"/>
                  <w:spacing w:before="0" w:beforeAutospacing="0" w:after="0" w:afterAutospacing="0"/>
                  <w:jc w:val="both"/>
                </w:pPr>
              </w:p>
              <w:p w:rsidR="00FA338D" w:rsidRPr="00F977CF" w:rsidP="00FA338D">
                <w:pPr>
                  <w:jc w:val="both"/>
                  <w:rPr>
                    <w:b/>
                    <w:i/>
                  </w:rPr>
                </w:pPr>
                <w:r w:rsidRPr="00F977CF">
                  <w:rPr>
                    <w:b/>
                    <w:i/>
                  </w:rPr>
                  <w:t>LDDA Tax Increment Financing</w:t>
                </w:r>
              </w:p>
              <w:p w:rsidR="00FA338D" w:rsidP="00FA338D">
                <w:r w:rsidRPr="00F977CF">
                  <w:t xml:space="preserve">In the state of </w:t>
                </w:r>
                <w:smartTag w:uri="urn:schemas-microsoft-com:office:smarttags" w:element="place">
                  <w:smartTag w:uri="urn:schemas-microsoft-com:office:smarttags" w:element="State">
                    <w:r w:rsidRPr="00F977CF">
                      <w:t>Colorado</w:t>
                    </w:r>
                  </w:smartTag>
                </w:smartTag>
                <w:r w:rsidRPr="00F977CF">
                  <w:t>, the state statutes allow for the creation of downtown development authorities and the statutes also govern the powers of such authorities.  The section of the statutes that pertain to downtown development authorities is Section 31 Article 25 Part 8.  Those sections also address the use of tax increment financing by DDA’s.  One of the powers or responsibilities assigned to a DDA in state statute is to:</w:t>
                </w:r>
              </w:p>
              <w:p w:rsidR="00FA338D" w:rsidRPr="00F977CF" w:rsidP="00FA338D"/>
              <w:p w:rsidR="00FA338D" w:rsidRPr="00DD1176" w:rsidP="00FA338D">
                <w:r w:rsidRPr="00DD1176">
                  <w:t xml:space="preserve">Plan and propose, within the downtown development area, plans of development for public facilities and other improvements to public or private property of all kinds, including removal, site preparation, renovation, repair, remodeling, reconstruction, or other changes in existing buildings which may be necessary or appropriate to the execution of any such plan which in the opinion of the board will aid and improve the downtown development </w:t>
                </w:r>
                <w:r w:rsidRPr="00AE0C14">
                  <w:t>area</w:t>
                </w:r>
                <w:r w:rsidR="00AE0C14">
                  <w:t>.</w:t>
                </w:r>
              </w:p>
              <w:p w:rsidR="00FA338D" w:rsidRPr="00F977CF" w:rsidP="00FA338D"/>
              <w:p w:rsidR="00FA338D" w:rsidP="00FA338D">
                <w:r w:rsidRPr="00F977CF">
                  <w:t xml:space="preserve">The Longmont DDA first created a plan of development upon being formed in 1982.  The Authority’s Plan of Development, adopted by the City Council in June of 1983, describes a series of objectives designed: to promote the health, safety, prosperity, security and general welfare of the District; to strengthen the economic vitality of the downtown area by preventing the deterioration of property values and structures and by eliminating blighted conditions; and to prepare and implement plans for the economic and physical revitalization of the </w:t>
                </w:r>
                <w:r>
                  <w:t>D</w:t>
                </w:r>
                <w:r w:rsidRPr="00F977CF">
                  <w:t>DA.  The LDDA updated the Master Plan of Development in 1987</w:t>
                </w:r>
                <w:r>
                  <w:t>; in 1995; and most recently in 2017.</w:t>
                </w:r>
              </w:p>
              <w:p w:rsidR="00FA338D" w:rsidRPr="00DD1176" w:rsidP="00FA338D"/>
              <w:p w:rsidR="00FA338D" w:rsidP="00FA338D">
                <w:r w:rsidRPr="00F977CF">
                  <w:t xml:space="preserve">In adopting the LDDA Plan of Development in 1983 the City Council adopted the use of tax increment financing as authorized in the Colorado State Statutes: </w:t>
                </w:r>
              </w:p>
              <w:p w:rsidR="00FA338D" w:rsidRPr="00F977CF" w:rsidP="00FA338D">
                <w:pPr>
                  <w:jc w:val="both"/>
                </w:pPr>
              </w:p>
              <w:p w:rsidR="00FA338D" w:rsidP="00FA338D">
                <w:pPr>
                  <w:rPr>
                    <w:i/>
                  </w:rPr>
                </w:pPr>
                <w:r w:rsidRPr="00F977CF">
                  <w:rPr>
                    <w:i/>
                  </w:rPr>
                  <w:t xml:space="preserve">That portion of said property taxes…in excess of such amount shall be allocated to and, when collected, paid into a special fund of the municipality for the </w:t>
                </w:r>
                <w:r w:rsidRPr="00F977CF">
                  <w:rPr>
                    <w:b/>
                    <w:i/>
                  </w:rPr>
                  <w:t>payment of the principal of, the interest on, and any premiums due in connection with the bonds of, loans or advances to, or indebtedness</w:t>
                </w:r>
                <w:r w:rsidRPr="00F977CF">
                  <w:rPr>
                    <w:i/>
                  </w:rPr>
                  <w:t xml:space="preserve"> incurred by, whether funded, refunded, assumed, or otherwise, the municipality for financing or refinancing, in whole or in part, </w:t>
                </w:r>
                <w:r w:rsidRPr="00F977CF">
                  <w:rPr>
                    <w:b/>
                    <w:i/>
                  </w:rPr>
                  <w:t>a development project</w:t>
                </w:r>
                <w:r w:rsidRPr="00F977CF">
                  <w:rPr>
                    <w:i/>
                  </w:rPr>
                  <w:t xml:space="preserve"> within the boundaries of the plan of development area.</w:t>
                </w:r>
              </w:p>
              <w:p w:rsidR="00FA338D" w:rsidRPr="00F977CF" w:rsidP="00FA338D">
                <w:pPr>
                  <w:jc w:val="both"/>
                  <w:rPr>
                    <w:i/>
                  </w:rPr>
                </w:pPr>
              </w:p>
              <w:p w:rsidR="00FA338D" w:rsidP="00FA338D">
                <w:r w:rsidRPr="00F977CF">
                  <w:t xml:space="preserve">The Plan established a base property valuation for the overall District as of December 1982 and beginning in 1983, the incremental property tax generated by the various mill levies on those properties above the 1982 base level is earmarked as LDDA </w:t>
                </w:r>
                <w:smartTag w:uri="urn:schemas-microsoft-com:office:smarttags" w:element="stockticker">
                  <w:r w:rsidRPr="00F977CF">
                    <w:t>TIF</w:t>
                  </w:r>
                </w:smartTag>
                <w:r w:rsidRPr="00F977CF">
                  <w:t xml:space="preserve"> revenue and deposited in the LDDA </w:t>
                </w:r>
                <w:smartTag w:uri="urn:schemas-microsoft-com:office:smarttags" w:element="stockticker">
                  <w:r w:rsidRPr="00F977CF">
                    <w:t>TIF</w:t>
                  </w:r>
                </w:smartTag>
                <w:r w:rsidRPr="00F977CF">
                  <w:t xml:space="preserve"> Fund.  </w:t>
                </w:r>
              </w:p>
              <w:p w:rsidR="00FA338D" w:rsidRPr="001970D5" w:rsidP="00FA338D">
                <w:pPr>
                  <w:rPr>
                    <w:highlight w:val="yellow"/>
                  </w:rPr>
                </w:pPr>
              </w:p>
              <w:p w:rsidR="00FA338D" w:rsidP="00FA338D">
                <w:r w:rsidRPr="00F977CF">
                  <w:t>While the state statutes allow for tax increment financing by a DDA, they limit the use of those funds to the payment of debt used to finance a development project. Such debt is subject to voter authorization.  In March of 1985 the qualified electors of the District authorized the City to issue bonds in an aggregate amount not to exceed $4,500,000 to finance DDA development projects.   That authorization was used up with bond issues in 1986 and 1998 and smaller financ</w:t>
                </w:r>
                <w:r>
                  <w:t>ing projects in between.  I</w:t>
                </w:r>
                <w:r w:rsidRPr="00F977CF">
                  <w:t xml:space="preserve">n 2005 the LDDA received voter approval of a ballot question that would allow debt to be increased up to $10,000,000 for DDA development projects pursuant to the LDDA plan of development which projects may </w:t>
                </w:r>
                <w:r>
                  <w:t xml:space="preserve">include but not be limited to, </w:t>
                </w:r>
                <w:r w:rsidRPr="00F977CF">
                  <w:t xml:space="preserve">at the discretion of the Authority, a mixed use parking structure.  </w:t>
                </w:r>
                <w:r>
                  <w:t xml:space="preserve">Between 2005 and 2015 the LDDA and the City </w:t>
                </w:r>
                <w:r w:rsidRPr="00F977CF">
                  <w:t xml:space="preserve">approved the use of </w:t>
                </w:r>
                <w:r>
                  <w:t xml:space="preserve">$10 million of </w:t>
                </w:r>
                <w:r w:rsidRPr="00F977CF">
                  <w:t>tax increment financing for the following projects:</w:t>
                </w:r>
              </w:p>
              <w:p w:rsidR="00FA338D" w:rsidRPr="001970D5" w:rsidP="00FA338D">
                <w:pPr>
                  <w:jc w:val="both"/>
                  <w:rPr>
                    <w:highlight w:val="yellow"/>
                  </w:rPr>
                </w:pPr>
              </w:p>
              <w:p w:rsidR="00FA338D" w:rsidRPr="00D44223" w:rsidP="00FA338D">
                <w:pPr>
                  <w:jc w:val="both"/>
                </w:pPr>
                <w:r w:rsidRPr="00D44223">
                  <w:tab/>
                  <w:t>Legal expenses for 2005 election</w:t>
                </w:r>
                <w:r w:rsidRPr="00D44223">
                  <w:tab/>
                </w:r>
                <w:r w:rsidRPr="00D44223">
                  <w:tab/>
                </w:r>
                <w:r w:rsidRPr="00D44223">
                  <w:tab/>
                  <w:t>$       7,000</w:t>
                </w:r>
              </w:p>
              <w:p w:rsidR="00FA338D" w:rsidRPr="00D44223" w:rsidP="00FA338D">
                <w:pPr>
                  <w:jc w:val="both"/>
                </w:pPr>
                <w:r w:rsidRPr="00D44223">
                  <w:tab/>
                  <w:t>St. Stephen’s pocket park</w:t>
                </w:r>
                <w:r w:rsidRPr="00D44223">
                  <w:tab/>
                </w:r>
                <w:r w:rsidRPr="00D44223">
                  <w:tab/>
                </w:r>
                <w:r w:rsidRPr="00D44223">
                  <w:tab/>
                </w:r>
                <w:r w:rsidRPr="00D44223">
                  <w:tab/>
                  <w:t xml:space="preserve">     142,693</w:t>
                </w:r>
              </w:p>
              <w:p w:rsidR="00FA338D" w:rsidRPr="00D44223" w:rsidP="00FA338D">
                <w:pPr>
                  <w:jc w:val="both"/>
                </w:pPr>
                <w:r w:rsidRPr="00D44223">
                  <w:tab/>
                  <w:t>Marketing &amp; promotion of downtown</w:t>
                </w:r>
                <w:r w:rsidRPr="00D44223">
                  <w:tab/>
                </w:r>
                <w:r w:rsidRPr="00D44223">
                  <w:tab/>
                  <w:t xml:space="preserve">       20,000</w:t>
                </w:r>
              </w:p>
              <w:p w:rsidR="00FA338D" w:rsidRPr="00D44223" w:rsidP="00FA338D">
                <w:pPr>
                  <w:jc w:val="both"/>
                  <w:rPr>
                    <w:u w:val="single"/>
                  </w:rPr>
                </w:pPr>
                <w:r w:rsidRPr="00D44223">
                  <w:tab/>
                  <w:t>Marketing program (</w:t>
                </w:r>
                <w:r>
                  <w:t>2007-2013)</w:t>
                </w:r>
                <w:r>
                  <w:tab/>
                </w:r>
                <w:r>
                  <w:tab/>
                </w:r>
                <w:r>
                  <w:tab/>
                  <w:t xml:space="preserve">  1,000</w:t>
                </w:r>
                <w:r w:rsidRPr="00D44223">
                  <w:t>,</w:t>
                </w:r>
                <w:r>
                  <w:t>820</w:t>
                </w:r>
              </w:p>
              <w:p w:rsidR="00FA338D" w:rsidRPr="00D44223" w:rsidP="00FA338D">
                <w:pPr>
                  <w:jc w:val="both"/>
                </w:pPr>
                <w:r w:rsidRPr="00D44223">
                  <w:tab/>
                  <w:t>Façade loan program</w:t>
                </w:r>
                <w:r w:rsidRPr="00D44223">
                  <w:tab/>
                </w:r>
                <w:r w:rsidRPr="00D44223">
                  <w:tab/>
                </w:r>
                <w:r w:rsidRPr="00D44223">
                  <w:tab/>
                </w:r>
                <w:r w:rsidRPr="00D44223">
                  <w:tab/>
                </w:r>
                <w:r w:rsidRPr="00D44223">
                  <w:tab/>
                  <w:t xml:space="preserve">  1,300,000</w:t>
                </w:r>
              </w:p>
              <w:p w:rsidR="00FA338D" w:rsidRPr="00D44223" w:rsidP="00FA338D">
                <w:pPr>
                  <w:jc w:val="both"/>
                </w:pPr>
                <w:r w:rsidRPr="00D44223">
                  <w:tab/>
                  <w:t>Alleyscape study</w:t>
                </w:r>
                <w:r w:rsidRPr="00D44223">
                  <w:tab/>
                </w:r>
                <w:r w:rsidRPr="00D44223">
                  <w:tab/>
                </w:r>
                <w:r w:rsidRPr="00D44223">
                  <w:tab/>
                </w:r>
                <w:r w:rsidRPr="00D44223">
                  <w:tab/>
                </w:r>
                <w:r w:rsidRPr="00D44223">
                  <w:tab/>
                  <w:t xml:space="preserve">       </w:t>
                </w:r>
                <w:r>
                  <w:t>18,75</w:t>
                </w:r>
                <w:r w:rsidRPr="00D44223">
                  <w:t>0</w:t>
                </w:r>
              </w:p>
              <w:p w:rsidR="00FA338D" w:rsidP="00FA338D">
                <w:pPr>
                  <w:jc w:val="both"/>
                </w:pPr>
                <w:r w:rsidRPr="00D44223">
                  <w:tab/>
                  <w:t>Master plan of development</w:t>
                </w:r>
                <w:r w:rsidRPr="00D44223">
                  <w:tab/>
                </w:r>
                <w:r w:rsidRPr="00D44223">
                  <w:tab/>
                </w:r>
                <w:r w:rsidRPr="00D44223">
                  <w:tab/>
                </w:r>
                <w:r w:rsidRPr="00D44223">
                  <w:tab/>
                  <w:t xml:space="preserve">       </w:t>
                </w:r>
                <w:r>
                  <w:t>75,00</w:t>
                </w:r>
                <w:r w:rsidRPr="00D44223">
                  <w:t>0</w:t>
                </w:r>
              </w:p>
              <w:p w:rsidR="00FA338D" w:rsidP="00FA338D">
                <w:pPr>
                  <w:jc w:val="both"/>
                </w:pPr>
                <w:r>
                  <w:tab/>
                  <w:t>Longs Peak &amp; Main market study</w:t>
                </w:r>
                <w:r>
                  <w:tab/>
                </w:r>
                <w:r>
                  <w:tab/>
                </w:r>
                <w:r>
                  <w:tab/>
                  <w:t xml:space="preserve">         8,666</w:t>
                </w:r>
              </w:p>
              <w:p w:rsidR="00FA338D" w:rsidP="00FA338D">
                <w:pPr>
                  <w:jc w:val="both"/>
                </w:pPr>
                <w:r>
                  <w:tab/>
                  <w:t>DR-8 Downtown alley improvements</w:t>
                </w:r>
                <w:r>
                  <w:tab/>
                </w:r>
                <w:r>
                  <w:tab/>
                  <w:t xml:space="preserve">  </w:t>
                </w:r>
                <w:r w:rsidR="00E40FF2">
                  <w:t xml:space="preserve">             </w:t>
                </w:r>
                <w:r>
                  <w:t>1,414,360</w:t>
                </w:r>
              </w:p>
              <w:p w:rsidR="00FA338D" w:rsidP="00FA338D">
                <w:pPr>
                  <w:jc w:val="both"/>
                </w:pPr>
                <w:r>
                  <w:tab/>
                  <w:t>DR-24 Longmont Theatre</w:t>
                </w:r>
                <w:r>
                  <w:tab/>
                </w:r>
                <w:r>
                  <w:tab/>
                </w:r>
                <w:r>
                  <w:tab/>
                </w:r>
                <w:r>
                  <w:tab/>
                  <w:t xml:space="preserve">     250,000</w:t>
                </w:r>
              </w:p>
              <w:p w:rsidR="00FA338D" w:rsidP="00FA338D">
                <w:pPr>
                  <w:jc w:val="both"/>
                </w:pPr>
                <w:r>
                  <w:tab/>
                  <w:t>Arts &amp; Entertainment District</w:t>
                </w:r>
                <w:r>
                  <w:tab/>
                </w:r>
                <w:r>
                  <w:tab/>
                </w:r>
                <w:r>
                  <w:tab/>
                </w:r>
                <w:r>
                  <w:tab/>
                  <w:t xml:space="preserve">       75,000</w:t>
                </w:r>
              </w:p>
              <w:p w:rsidR="00FA338D" w:rsidP="00FA338D">
                <w:pPr>
                  <w:jc w:val="both"/>
                </w:pPr>
                <w:r>
                  <w:tab/>
                  <w:t>DR-23 Parking lot improvements</w:t>
                </w:r>
                <w:r>
                  <w:tab/>
                </w:r>
                <w:r>
                  <w:tab/>
                </w:r>
                <w:r>
                  <w:tab/>
                  <w:t xml:space="preserve">     340,167</w:t>
                </w:r>
              </w:p>
              <w:p w:rsidR="00FA338D" w:rsidP="00FA338D">
                <w:pPr>
                  <w:jc w:val="both"/>
                </w:pPr>
                <w:r>
                  <w:tab/>
                  <w:t>DR-25 Downtown breezeway improvements</w:t>
                </w:r>
                <w:r>
                  <w:tab/>
                </w:r>
                <w:r>
                  <w:tab/>
                  <w:t xml:space="preserve">     746,400</w:t>
                </w:r>
              </w:p>
              <w:p w:rsidR="00FA338D" w:rsidP="00FA338D">
                <w:pPr>
                  <w:jc w:val="both"/>
                </w:pPr>
                <w:r>
                  <w:tab/>
                  <w:t>A&amp;E District programs</w:t>
                </w:r>
                <w:r>
                  <w:tab/>
                </w:r>
                <w:r>
                  <w:tab/>
                </w:r>
                <w:r>
                  <w:tab/>
                </w:r>
                <w:r>
                  <w:tab/>
                  <w:t xml:space="preserve">  </w:t>
                </w:r>
                <w:r w:rsidR="00E40FF2">
                  <w:t xml:space="preserve">             </w:t>
                </w:r>
                <w:r>
                  <w:t>1,062,504</w:t>
                </w:r>
              </w:p>
              <w:p w:rsidR="00FA338D" w:rsidP="00FA338D">
                <w:pPr>
                  <w:jc w:val="both"/>
                </w:pPr>
                <w:r>
                  <w:tab/>
                  <w:t>Storefronts campaign</w:t>
                </w:r>
                <w:r>
                  <w:tab/>
                </w:r>
                <w:r>
                  <w:tab/>
                </w:r>
                <w:r>
                  <w:tab/>
                </w:r>
                <w:r>
                  <w:tab/>
                </w:r>
                <w:r>
                  <w:tab/>
                  <w:t xml:space="preserve">     150,000</w:t>
                </w:r>
              </w:p>
              <w:p w:rsidR="00FA338D" w:rsidP="00FA338D">
                <w:pPr>
                  <w:jc w:val="both"/>
                </w:pPr>
                <w:r>
                  <w:tab/>
                  <w:t>Business retention &amp; recruitment</w:t>
                </w:r>
                <w:r>
                  <w:tab/>
                </w:r>
                <w:r>
                  <w:tab/>
                </w:r>
                <w:r>
                  <w:tab/>
                  <w:t xml:space="preserve">       16,666</w:t>
                </w:r>
              </w:p>
              <w:p w:rsidR="00FA338D" w:rsidP="00FA338D">
                <w:pPr>
                  <w:jc w:val="both"/>
                </w:pPr>
                <w:r>
                  <w:tab/>
                  <w:t>BID plan</w:t>
                </w:r>
                <w:r>
                  <w:tab/>
                </w:r>
                <w:r>
                  <w:tab/>
                </w:r>
                <w:r>
                  <w:tab/>
                </w:r>
                <w:r>
                  <w:tab/>
                </w:r>
                <w:r>
                  <w:tab/>
                </w:r>
                <w:r>
                  <w:tab/>
                  <w:t xml:space="preserve">       25,000</w:t>
                </w:r>
              </w:p>
              <w:p w:rsidR="00FA338D" w:rsidP="00FA338D">
                <w:pPr>
                  <w:jc w:val="both"/>
                </w:pPr>
                <w:r>
                  <w:tab/>
                  <w:t>Incentive programs</w:t>
                </w:r>
                <w:r>
                  <w:tab/>
                </w:r>
                <w:r>
                  <w:tab/>
                </w:r>
                <w:r>
                  <w:tab/>
                </w:r>
                <w:r>
                  <w:tab/>
                </w:r>
                <w:r>
                  <w:tab/>
                  <w:t xml:space="preserve">  1,100,000</w:t>
                </w:r>
              </w:p>
              <w:p w:rsidR="00FA338D" w:rsidP="00FA338D">
                <w:pPr>
                  <w:jc w:val="both"/>
                </w:pPr>
                <w:r>
                  <w:tab/>
                  <w:t>Parking structure @ Roosevelt apartments</w:t>
                </w:r>
                <w:r>
                  <w:tab/>
                </w:r>
                <w:r>
                  <w:tab/>
                  <w:t xml:space="preserve">  2,024,000</w:t>
                </w:r>
              </w:p>
              <w:p w:rsidR="00FA338D" w:rsidP="00FA338D">
                <w:pPr>
                  <w:jc w:val="both"/>
                </w:pPr>
                <w:r>
                  <w:tab/>
                  <w:t>DR-19 Streetscape improvements</w:t>
                </w:r>
                <w:r>
                  <w:tab/>
                </w:r>
                <w:r>
                  <w:tab/>
                </w:r>
                <w:r>
                  <w:tab/>
                  <w:t xml:space="preserve">     175,000</w:t>
                </w:r>
              </w:p>
              <w:p w:rsidR="00FA338D" w:rsidRPr="00FA338D" w:rsidP="00FA338D">
                <w:pPr>
                  <w:jc w:val="both"/>
                  <w:rPr>
                    <w:u w:val="single"/>
                  </w:rPr>
                </w:pPr>
                <w:r>
                  <w:tab/>
                  <w:t>Infrastructure replacement funding</w:t>
                </w:r>
                <w:r>
                  <w:tab/>
                </w:r>
                <w:r>
                  <w:tab/>
                </w:r>
                <w:r>
                  <w:tab/>
                </w:r>
                <w:r w:rsidRPr="00FA338D">
                  <w:rPr>
                    <w:u w:val="single"/>
                  </w:rPr>
                  <w:t xml:space="preserve">       47,974</w:t>
                </w:r>
              </w:p>
              <w:p w:rsidR="00FA338D" w:rsidRPr="00D44223" w:rsidP="00FA338D">
                <w:pPr>
                  <w:jc w:val="both"/>
                </w:pPr>
                <w:r w:rsidRPr="00D44223">
                  <w:tab/>
                  <w:t>Total uses</w:t>
                </w:r>
                <w:r w:rsidRPr="00D44223">
                  <w:tab/>
                </w:r>
                <w:r w:rsidRPr="00D44223">
                  <w:tab/>
                </w:r>
                <w:r w:rsidRPr="00D44223">
                  <w:tab/>
                </w:r>
                <w:r w:rsidRPr="00D44223">
                  <w:tab/>
                </w:r>
                <w:r w:rsidRPr="00D44223">
                  <w:tab/>
                  <w:t xml:space="preserve">  </w:t>
                </w:r>
                <w:r>
                  <w:t xml:space="preserve">          $10,000,000</w:t>
                </w:r>
              </w:p>
              <w:p w:rsidR="00FA338D" w:rsidP="00FA338D">
                <w:pPr>
                  <w:jc w:val="both"/>
                </w:pPr>
              </w:p>
              <w:p w:rsidR="00FA338D" w:rsidP="00FA338D">
                <w:r w:rsidRPr="00270C4A">
                  <w:t xml:space="preserve">In November of 2012 LDDA voters approved an additional $25 million of debt authorization which is likely to cover the use of LDDA TIF revenue </w:t>
                </w:r>
                <w:r>
                  <w:t>through 2033</w:t>
                </w:r>
                <w:r w:rsidRPr="00270C4A">
                  <w:t xml:space="preserve"> for which the TIF is authorized to continue under state statute. </w:t>
                </w:r>
                <w:r>
                  <w:t xml:space="preserve"> Since receiving the $25 million authorization the LDDA and the City have approved the use of $5,026,569 of </w:t>
                </w:r>
                <w:r w:rsidRPr="00F977CF">
                  <w:t>tax increment financing for</w:t>
                </w:r>
                <w:r>
                  <w:t xml:space="preserve"> projects and efforts such as the following:</w:t>
                </w:r>
              </w:p>
              <w:p w:rsidR="00FA338D" w:rsidP="00FA338D">
                <w:pPr>
                  <w:jc w:val="both"/>
                </w:pPr>
              </w:p>
              <w:p w:rsidR="00FA338D" w:rsidP="00FA338D">
                <w:pPr>
                  <w:ind w:firstLine="720"/>
                  <w:jc w:val="both"/>
                </w:pPr>
                <w:r>
                  <w:t>PBF-215 Coffman Project</w:t>
                </w:r>
                <w:r>
                  <w:tab/>
                </w:r>
                <w:r>
                  <w:tab/>
                </w:r>
                <w:r>
                  <w:tab/>
                </w:r>
                <w:r>
                  <w:tab/>
                  <w:t>$ 2,000,000</w:t>
                </w:r>
              </w:p>
              <w:p w:rsidR="00FA338D" w:rsidP="00FA338D">
                <w:pPr>
                  <w:ind w:firstLine="720"/>
                  <w:jc w:val="both"/>
                </w:pPr>
                <w:r>
                  <w:t>Incentive</w:t>
                </w:r>
                <w:r w:rsidRPr="00D44223">
                  <w:t xml:space="preserve"> program</w:t>
                </w:r>
                <w:r>
                  <w:t>s</w:t>
                </w:r>
                <w:r w:rsidRPr="00D44223">
                  <w:tab/>
                </w:r>
                <w:r w:rsidRPr="00D44223">
                  <w:tab/>
                </w:r>
                <w:r w:rsidRPr="00D44223">
                  <w:tab/>
                </w:r>
                <w:r w:rsidRPr="00D44223">
                  <w:tab/>
                </w:r>
                <w:r w:rsidRPr="00D44223">
                  <w:tab/>
                  <w:t xml:space="preserve">  </w:t>
                </w:r>
                <w:r>
                  <w:t xml:space="preserve">    4</w:t>
                </w:r>
                <w:r w:rsidRPr="00D44223">
                  <w:t>00,000</w:t>
                </w:r>
              </w:p>
              <w:p w:rsidR="00FA338D" w:rsidP="00FA338D">
                <w:pPr>
                  <w:ind w:firstLine="720"/>
                  <w:jc w:val="both"/>
                </w:pPr>
                <w:r>
                  <w:t>Infrastructure replacement funding</w:t>
                </w:r>
                <w:r>
                  <w:tab/>
                </w:r>
                <w:r>
                  <w:tab/>
                </w:r>
                <w:r>
                  <w:tab/>
                  <w:t xml:space="preserve">      169,313</w:t>
                </w:r>
              </w:p>
              <w:p w:rsidR="00FA338D" w:rsidP="00FA338D">
                <w:pPr>
                  <w:ind w:firstLine="720"/>
                  <w:jc w:val="both"/>
                </w:pPr>
                <w:r>
                  <w:t xml:space="preserve">Project management expenses </w:t>
                </w:r>
                <w:r>
                  <w:tab/>
                </w:r>
                <w:r>
                  <w:tab/>
                </w:r>
                <w:r>
                  <w:tab/>
                  <w:t xml:space="preserve">      147,240</w:t>
                </w:r>
              </w:p>
              <w:p w:rsidR="00FA338D" w:rsidP="00FA338D">
                <w:pPr>
                  <w:ind w:firstLine="720"/>
                  <w:jc w:val="both"/>
                </w:pPr>
                <w:r>
                  <w:t>DTR-023 Downtown Parking Lot improvements</w:t>
                </w:r>
                <w:r>
                  <w:tab/>
                  <w:t xml:space="preserve">        30,000</w:t>
                </w:r>
              </w:p>
              <w:p w:rsidR="00FA338D" w:rsidP="00FA338D">
                <w:pPr>
                  <w:ind w:firstLine="720"/>
                  <w:jc w:val="both"/>
                </w:pPr>
                <w:r>
                  <w:t>DTR-029 Downtown Alley Planning</w:t>
                </w:r>
                <w:r>
                  <w:tab/>
                </w:r>
                <w:r>
                  <w:tab/>
                </w:r>
                <w:r>
                  <w:tab/>
                  <w:t xml:space="preserve">        25,000</w:t>
                </w:r>
              </w:p>
              <w:p w:rsidR="00FA338D" w:rsidP="00FA338D">
                <w:pPr>
                  <w:ind w:firstLine="720"/>
                  <w:jc w:val="both"/>
                </w:pPr>
                <w:r>
                  <w:t xml:space="preserve">DTR-032 Plaza Rehabilitation                                         </w:t>
                </w:r>
                <w:r w:rsidR="00993BA9">
                  <w:t xml:space="preserve">      </w:t>
                </w:r>
                <w:r>
                  <w:t>100,000</w:t>
                </w:r>
              </w:p>
              <w:p w:rsidR="00FA338D" w:rsidP="00FA338D">
                <w:pPr>
                  <w:ind w:firstLine="720"/>
                  <w:jc w:val="both"/>
                </w:pPr>
                <w:r>
                  <w:t>DTR-033 Wayfinding Gateways</w:t>
                </w:r>
                <w:r>
                  <w:tab/>
                </w:r>
                <w:r>
                  <w:tab/>
                </w:r>
                <w:r>
                  <w:tab/>
                  <w:t xml:space="preserve">      250,000</w:t>
                </w:r>
              </w:p>
              <w:p w:rsidR="00FA338D" w:rsidP="00FA338D">
                <w:pPr>
                  <w:ind w:firstLine="720"/>
                  <w:jc w:val="both"/>
                </w:pPr>
                <w:r>
                  <w:t>Arts &amp; Entertainment  programs</w:t>
                </w:r>
                <w:r>
                  <w:tab/>
                </w:r>
                <w:r>
                  <w:tab/>
                </w:r>
                <w:r>
                  <w:tab/>
                  <w:t xml:space="preserve">      888,227</w:t>
                </w:r>
              </w:p>
              <w:p w:rsidR="00FA338D" w:rsidP="00FA338D">
                <w:pPr>
                  <w:ind w:firstLine="720"/>
                  <w:jc w:val="both"/>
                </w:pPr>
                <w:r>
                  <w:t>Clean &amp; safe programs</w:t>
                </w:r>
                <w:r>
                  <w:tab/>
                </w:r>
                <w:r>
                  <w:tab/>
                </w:r>
                <w:r>
                  <w:tab/>
                </w:r>
                <w:r>
                  <w:tab/>
                  <w:t xml:space="preserve">        80,000</w:t>
                </w:r>
              </w:p>
              <w:p w:rsidR="00FA338D" w:rsidP="00FA338D">
                <w:pPr>
                  <w:ind w:firstLine="720"/>
                  <w:jc w:val="both"/>
                </w:pPr>
                <w:r>
                  <w:t>Placemaking programs</w:t>
                </w:r>
                <w:r>
                  <w:tab/>
                </w:r>
                <w:r>
                  <w:tab/>
                </w:r>
                <w:r>
                  <w:tab/>
                </w:r>
                <w:r>
                  <w:tab/>
                  <w:t xml:space="preserve">      320,000</w:t>
                </w:r>
              </w:p>
              <w:p w:rsidR="00FA338D" w:rsidP="00FA338D">
                <w:pPr>
                  <w:ind w:firstLine="720"/>
                  <w:jc w:val="both"/>
                </w:pPr>
                <w:r>
                  <w:t>Connectivity programs</w:t>
                </w:r>
                <w:r>
                  <w:tab/>
                </w:r>
                <w:r>
                  <w:tab/>
                </w:r>
                <w:r>
                  <w:tab/>
                </w:r>
                <w:r>
                  <w:tab/>
                  <w:t xml:space="preserve">      150,000</w:t>
                </w:r>
              </w:p>
              <w:p w:rsidR="00FA338D" w:rsidP="00FA338D">
                <w:pPr>
                  <w:ind w:firstLine="720"/>
                  <w:jc w:val="both"/>
                </w:pPr>
                <w:r>
                  <w:t>Creative District programs</w:t>
                </w:r>
                <w:r>
                  <w:tab/>
                </w:r>
                <w:r>
                  <w:tab/>
                </w:r>
                <w:r>
                  <w:tab/>
                </w:r>
                <w:r>
                  <w:tab/>
                  <w:t xml:space="preserve">        60,000</w:t>
                </w:r>
              </w:p>
              <w:p w:rsidR="00FA338D" w:rsidP="00FA338D">
                <w:pPr>
                  <w:ind w:firstLine="720"/>
                  <w:jc w:val="both"/>
                </w:pPr>
                <w:r>
                  <w:t>Economic vitality programs</w:t>
                </w:r>
                <w:r>
                  <w:tab/>
                </w:r>
                <w:r>
                  <w:tab/>
                </w:r>
                <w:r>
                  <w:tab/>
                </w:r>
                <w:r>
                  <w:tab/>
                  <w:t xml:space="preserve">      107,500</w:t>
                </w:r>
              </w:p>
              <w:p w:rsidR="00FA338D" w:rsidP="00FA338D">
                <w:pPr>
                  <w:ind w:firstLine="720"/>
                  <w:jc w:val="both"/>
                </w:pPr>
                <w:r>
                  <w:t>Redevelopment programs</w:t>
                </w:r>
                <w:r>
                  <w:tab/>
                </w:r>
                <w:r>
                  <w:tab/>
                </w:r>
                <w:r>
                  <w:tab/>
                </w:r>
                <w:r>
                  <w:tab/>
                  <w:t xml:space="preserve">        25,000</w:t>
                </w:r>
              </w:p>
              <w:p w:rsidR="00FA338D" w:rsidP="00FA338D">
                <w:pPr>
                  <w:ind w:firstLine="720"/>
                  <w:jc w:val="both"/>
                </w:pPr>
                <w:r>
                  <w:t>Marketing collaboration programs</w:t>
                </w:r>
                <w:r>
                  <w:tab/>
                </w:r>
                <w:r>
                  <w:tab/>
                </w:r>
                <w:r>
                  <w:tab/>
                  <w:t xml:space="preserve">        30,000</w:t>
                </w:r>
              </w:p>
              <w:p w:rsidR="00FA338D" w:rsidP="00FA338D">
                <w:pPr>
                  <w:ind w:firstLine="720"/>
                  <w:jc w:val="both"/>
                </w:pPr>
                <w:r>
                  <w:t>Metrics</w:t>
                </w:r>
                <w:r>
                  <w:tab/>
                </w:r>
                <w:r>
                  <w:tab/>
                </w:r>
                <w:r>
                  <w:tab/>
                </w:r>
                <w:r>
                  <w:tab/>
                </w:r>
                <w:r>
                  <w:tab/>
                </w:r>
                <w:r>
                  <w:tab/>
                  <w:t xml:space="preserve">        16,000</w:t>
                </w:r>
              </w:p>
              <w:p w:rsidR="00FA338D" w:rsidP="00FA338D">
                <w:pPr>
                  <w:ind w:firstLine="720"/>
                  <w:jc w:val="both"/>
                </w:pPr>
                <w:r>
                  <w:t>Electric assessment &amp; upgrades</w:t>
                </w:r>
                <w:r>
                  <w:tab/>
                </w:r>
                <w:r>
                  <w:tab/>
                </w:r>
                <w:r>
                  <w:tab/>
                  <w:t xml:space="preserve">        70,000</w:t>
                </w:r>
              </w:p>
              <w:p w:rsidR="00FA338D" w:rsidP="00FA338D">
                <w:pPr>
                  <w:ind w:firstLine="720"/>
                  <w:jc w:val="both"/>
                </w:pPr>
                <w:r>
                  <w:t>COVID grants</w:t>
                </w:r>
                <w:r>
                  <w:tab/>
                </w:r>
                <w:r>
                  <w:tab/>
                </w:r>
                <w:r>
                  <w:tab/>
                </w:r>
                <w:r>
                  <w:tab/>
                </w:r>
                <w:r>
                  <w:tab/>
                </w:r>
                <w:r>
                  <w:tab/>
                  <w:t xml:space="preserve">      200,000</w:t>
                </w:r>
              </w:p>
              <w:p w:rsidR="00FA338D" w:rsidP="00FA338D">
                <w:pPr>
                  <w:ind w:firstLine="720"/>
                  <w:jc w:val="both"/>
                </w:pPr>
              </w:p>
              <w:p w:rsidR="00FA338D" w:rsidP="00FA338D">
                <w:r w:rsidRPr="00270C4A">
                  <w:t>Beginning in 2014, the thirty-first year of the LDDA TIF, the base year for the calc</w:t>
                </w:r>
                <w:r>
                  <w:t>ulation of the increment wa</w:t>
                </w:r>
                <w:r w:rsidRPr="00270C4A">
                  <w:t xml:space="preserve">s 1992 and </w:t>
                </w:r>
                <w:r>
                  <w:t>the LDDA wa</w:t>
                </w:r>
                <w:r w:rsidRPr="00270C4A">
                  <w:t xml:space="preserve">s only entitled to receive 50% of the TIF. </w:t>
                </w:r>
                <w:r>
                  <w:t xml:space="preserve"> The City and the LDDA</w:t>
                </w:r>
                <w:r w:rsidRPr="00270C4A">
                  <w:t xml:space="preserve"> negotiate</w:t>
                </w:r>
                <w:r>
                  <w:t>d</w:t>
                </w:r>
                <w:r w:rsidRPr="00270C4A">
                  <w:t xml:space="preserve"> with </w:t>
                </w:r>
                <w:r>
                  <w:t xml:space="preserve">some of </w:t>
                </w:r>
                <w:r w:rsidRPr="00270C4A">
                  <w:t>the other taxing entities to receive more than 50% of the TIF generated by their respective mill levies.  The annual deadline for such negotiations in reference to the next fiscal year is August 1</w:t>
                </w:r>
                <w:r w:rsidRPr="00270C4A">
                  <w:rPr>
                    <w:vertAlign w:val="superscript"/>
                  </w:rPr>
                  <w:t>st</w:t>
                </w:r>
                <w:r w:rsidRPr="00270C4A">
                  <w:t xml:space="preserve">. The DDA has </w:t>
                </w:r>
                <w:r>
                  <w:t>an</w:t>
                </w:r>
                <w:r w:rsidRPr="00270C4A">
                  <w:t xml:space="preserve"> agreement with the St. Vrain </w:t>
                </w:r>
                <w:r w:rsidRPr="00270C4A">
                  <w:t>Valley School District for a portion of their mill levy.  That agreement, along with the City’s own mill levy, is the only TIF dollars beyond the allowed 50% th</w:t>
                </w:r>
                <w:r>
                  <w:t>at the LDDA will receive in 2022</w:t>
                </w:r>
                <w:r w:rsidRPr="00270C4A">
                  <w:t>.  As a result the LDDA T</w:t>
                </w:r>
                <w:r>
                  <w:t>IF revenue in this proposed 2022 budget is projected at $1,342,000</w:t>
                </w:r>
                <w:r w:rsidRPr="00270C4A">
                  <w:t>.</w:t>
                </w:r>
                <w:r>
                  <w:t xml:space="preserve"> </w:t>
                </w:r>
              </w:p>
              <w:p w:rsidR="00FA338D" w:rsidP="00FA338D">
                <w:pPr>
                  <w:jc w:val="both"/>
                </w:pPr>
              </w:p>
              <w:p w:rsidR="00FA338D" w:rsidP="00FA338D">
                <w:pPr>
                  <w:jc w:val="both"/>
                  <w:rPr>
                    <w:b/>
                    <w:i/>
                  </w:rPr>
                </w:pPr>
                <w:r>
                  <w:rPr>
                    <w:b/>
                    <w:i/>
                  </w:rPr>
                  <w:t>Downtown Infrastructure Renewal</w:t>
                </w:r>
              </w:p>
              <w:p w:rsidR="00FA338D" w:rsidP="00FA338D">
                <w:pPr>
                  <w:autoSpaceDE w:val="0"/>
                  <w:autoSpaceDN w:val="0"/>
                  <w:adjustRightInd w:val="0"/>
                </w:pPr>
                <w:r>
                  <w:t xml:space="preserve">Maintenance of the downtown is contracted for by the LDDA Executive Director as per the duties identified in the annual IGA’s between the LDDA and the LGID; and between the City and the LDDA.  While some services are provided by external contractors a portion of it is being provided by Public Works and Natural Resources.  Depending on the type of maintenance or support provided the funding source comes from either the Longmont General Improvement District; the Downtown Parking Fund; the Arts &amp; Entertainment Fund; and occasionally the DDA Operating Fund.  Primarily the Longmont GID is the historical funding source for expenses related to the repair, replacement and maintenance of District assets including sidewalks, parking lot surfaces and improvements, breezeway walks, structures and other improvements.  </w:t>
                </w:r>
              </w:p>
              <w:p w:rsidR="00FA338D" w:rsidP="00FA338D">
                <w:pPr>
                  <w:autoSpaceDE w:val="0"/>
                  <w:autoSpaceDN w:val="0"/>
                  <w:adjustRightInd w:val="0"/>
                </w:pPr>
              </w:p>
              <w:p w:rsidR="00FA338D" w:rsidP="00FA338D">
                <w:pPr>
                  <w:autoSpaceDE w:val="0"/>
                  <w:autoSpaceDN w:val="0"/>
                  <w:adjustRightInd w:val="0"/>
                </w:pPr>
                <w:r>
                  <w:t xml:space="preserve">In 2013 the Parks Division completed an asset inventory for the downtown to identify the need for continued maintenance and renewal of assets in the downtown.  City staff met with the LDDA Executive Director to discuss approaches to meeting those needs.  Staff checked with other cities with downtown development authorities that had funded infrastructure in their downtowns and how those entities handled the ongoing maintenance and replacement of those assets.  Some were maintained by the City and some by the DDA.  With the reduction in TIF revenue the LDDA began to experience in 2014 (year 31) it was unable to solely fund the maintenance and replacement costs.  City staff concluded that the infrastructure should be treated as it would be elsewhere in the City where developer improvements are accepted and maintained by the City.  Staff also concluded that services to the downtown involving trash removal and street cleaning were services being provided elsewhere in the City by the Sanitation Fund and Streets Fund respectively.  Accordingly, it was decided that those services should also be provided by those funds to the downtown as well.  </w:t>
                </w:r>
              </w:p>
              <w:p w:rsidR="00FA338D" w:rsidP="00FA338D">
                <w:pPr>
                  <w:autoSpaceDE w:val="0"/>
                  <w:autoSpaceDN w:val="0"/>
                  <w:adjustRightInd w:val="0"/>
                </w:pPr>
              </w:p>
              <w:p w:rsidR="00FA338D" w:rsidP="00FA338D">
                <w:pPr>
                  <w:autoSpaceDE w:val="0"/>
                  <w:autoSpaceDN w:val="0"/>
                  <w:adjustRightInd w:val="0"/>
                </w:pPr>
                <w:r>
                  <w:t>As indicated above, the City Council agreed to allow the LDDA to keep 100% of the TIF generated by the 13.42 mill levy of the General Fund rather than retain the 50% that is allowed for in year 31 under the state statutes.  The LDDA Board designated that 50% of that amount, or 25% of the overall TIF generated by the levy (estimated at $58,742 for 2022), would be set aside for renewal or replacement of downtown infrastructure assets.</w:t>
                </w:r>
              </w:p>
              <w:p w:rsidR="001A3075" w:rsidRPr="001A3075" w:rsidP="00F70A44"/>
              <w:p w:rsidR="001A3075" w:rsidP="00F70A44">
                <w:pPr>
                  <w:rPr>
                    <w:b/>
                  </w:rPr>
                </w:pPr>
                <w:r w:rsidRPr="001A3075">
                  <w:rPr>
                    <w:b/>
                  </w:rPr>
                  <w:t>USE OF THE MARIJUANA TAX</w:t>
                </w:r>
              </w:p>
              <w:p w:rsidR="002824F0" w:rsidRPr="00DE2D42" w:rsidP="002824F0">
                <w:r w:rsidRPr="0005260A">
                  <w:t>For 202</w:t>
                </w:r>
                <w:r w:rsidRPr="0005260A" w:rsidR="0005260A">
                  <w:t>2</w:t>
                </w:r>
                <w:r w:rsidRPr="0005260A">
                  <w:t xml:space="preserve"> the special sales tax on the sale of marijuana is projected at $</w:t>
                </w:r>
                <w:r w:rsidRPr="0005260A" w:rsidR="0005260A">
                  <w:t>60</w:t>
                </w:r>
                <w:r w:rsidRPr="0005260A">
                  <w:t xml:space="preserve">0,000.  The voter approval of the special sales tax designated that 50% of the 3% sales tax be used for </w:t>
                </w:r>
                <w:r w:rsidRPr="0005260A">
                  <w:t>affordable housing development.  $</w:t>
                </w:r>
                <w:r w:rsidRPr="0005260A" w:rsidR="0005260A">
                  <w:t>300</w:t>
                </w:r>
                <w:r w:rsidRPr="0005260A">
                  <w:t>,000 is included in the proposed 202</w:t>
                </w:r>
                <w:r w:rsidRPr="0005260A" w:rsidR="0005260A">
                  <w:t>2</w:t>
                </w:r>
                <w:r w:rsidRPr="0005260A">
                  <w:t xml:space="preserve"> budget as a transfer to the Affordable Housing Fund.  The other 50% can still be added to the proposed budget but remains unallocated pending council direction. In the 202</w:t>
                </w:r>
                <w:r w:rsidRPr="0005260A" w:rsidR="0005260A">
                  <w:t>1</w:t>
                </w:r>
                <w:r w:rsidRPr="0005260A">
                  <w:t xml:space="preserve"> budget the City Council designated use of the 50% </w:t>
                </w:r>
                <w:r w:rsidRPr="0005260A" w:rsidR="0005260A">
                  <w:t>plus the fund balance from the undesignated portion from 2019 for Longmont Public Media ($67,558), Library feasibility study ($50,000), early childhood education ($150,000), and the 529 Jump program ($70,000)</w:t>
                </w:r>
                <w:r w:rsidRPr="0005260A">
                  <w:t>.  To include it in the adopted 202</w:t>
                </w:r>
                <w:r w:rsidRPr="0005260A" w:rsidR="0005260A">
                  <w:t>2</w:t>
                </w:r>
                <w:r w:rsidRPr="0005260A">
                  <w:t xml:space="preserve"> budget Council will need to direct use of the 50% </w:t>
                </w:r>
                <w:r w:rsidRPr="0005260A" w:rsidR="0005260A">
                  <w:t xml:space="preserve">($300,000) on or before </w:t>
                </w:r>
                <w:r w:rsidRPr="0005260A">
                  <w:t>when final direction on the 202</w:t>
                </w:r>
                <w:r w:rsidRPr="0005260A" w:rsidR="0005260A">
                  <w:t xml:space="preserve">2 </w:t>
                </w:r>
                <w:r w:rsidRPr="0005260A">
                  <w:t>budget is given on October</w:t>
                </w:r>
                <w:r w:rsidRPr="0005260A" w:rsidR="0005260A">
                  <w:t xml:space="preserve"> 5</w:t>
                </w:r>
                <w:r w:rsidRPr="0005260A">
                  <w:rPr>
                    <w:vertAlign w:val="superscript"/>
                  </w:rPr>
                  <w:t>th</w:t>
                </w:r>
                <w:r w:rsidRPr="0005260A">
                  <w:t>.</w:t>
                </w:r>
                <w:r>
                  <w:t xml:space="preserve">   </w:t>
                </w:r>
              </w:p>
              <w:p w:rsidR="001A3075" w:rsidRPr="001A3075" w:rsidP="00F70A44"/>
              <w:p w:rsidR="001A3075" w:rsidRPr="00547F9A" w:rsidP="00F70A44">
                <w:pPr>
                  <w:rPr>
                    <w:b/>
                  </w:rPr>
                </w:pPr>
                <w:r w:rsidRPr="00547F9A">
                  <w:rPr>
                    <w:b/>
                  </w:rPr>
                  <w:t>RENEWABLE ENERGY</w:t>
                </w:r>
                <w:r w:rsidRPr="00547F9A" w:rsidR="00C9755D">
                  <w:rPr>
                    <w:b/>
                  </w:rPr>
                  <w:t xml:space="preserve"> PORTFOLIO TOOLS</w:t>
                </w:r>
              </w:p>
              <w:p w:rsidR="00C9755D" w:rsidRPr="00F41382" w:rsidP="00C9755D">
                <w:pPr>
                  <w:rPr>
                    <w:rFonts w:cstheme="minorHAnsi"/>
                    <w:color w:val="000000" w:themeColor="text1"/>
                  </w:rPr>
                </w:pPr>
                <w:r w:rsidRPr="00F41382">
                  <w:rPr>
                    <w:rFonts w:cstheme="minorHAnsi"/>
                    <w:color w:val="000000" w:themeColor="text1"/>
                  </w:rPr>
                  <w:t>There are three LPC capital projects working singularly and in concert to support advancement of the City of Longmont goal of 100% Renewable Energy by 2030.  These are:</w:t>
                </w:r>
              </w:p>
              <w:p w:rsidR="00C9755D" w:rsidRPr="00C9755D" w:rsidP="00C9755D">
                <w:pPr>
                  <w:pStyle w:val="ListParagraph"/>
                  <w:numPr>
                    <w:ilvl w:val="0"/>
                    <w:numId w:val="21"/>
                  </w:numPr>
                  <w:rPr>
                    <w:rFonts w:cstheme="minorHAnsi"/>
                    <w:color w:val="000000" w:themeColor="text1"/>
                    <w:sz w:val="24"/>
                    <w:szCs w:val="24"/>
                  </w:rPr>
                </w:pPr>
                <w:r w:rsidRPr="00C9755D">
                  <w:rPr>
                    <w:rFonts w:cstheme="minorHAnsi"/>
                    <w:color w:val="000000" w:themeColor="text1"/>
                    <w:sz w:val="24"/>
                    <w:szCs w:val="24"/>
                  </w:rPr>
                  <w:t>ELE 044 - Electric System Reliability and Grid Modernization</w:t>
                </w:r>
              </w:p>
              <w:p w:rsidR="00C9755D" w:rsidRPr="00C9755D" w:rsidP="00C9755D">
                <w:pPr>
                  <w:pStyle w:val="ListParagraph"/>
                  <w:numPr>
                    <w:ilvl w:val="0"/>
                    <w:numId w:val="21"/>
                  </w:numPr>
                  <w:rPr>
                    <w:rFonts w:cstheme="minorHAnsi"/>
                    <w:color w:val="000000" w:themeColor="text1"/>
                    <w:sz w:val="24"/>
                    <w:szCs w:val="24"/>
                  </w:rPr>
                </w:pPr>
                <w:r w:rsidRPr="00C9755D">
                  <w:rPr>
                    <w:rFonts w:cstheme="minorHAnsi"/>
                    <w:color w:val="000000" w:themeColor="text1"/>
                    <w:sz w:val="24"/>
                    <w:szCs w:val="24"/>
                  </w:rPr>
                  <w:t>ELE 102 – Electric System Rehabilitation and Improvements</w:t>
                </w:r>
              </w:p>
              <w:p w:rsidR="00C9755D" w:rsidRPr="00C9755D" w:rsidP="00C9755D">
                <w:pPr>
                  <w:pStyle w:val="ListParagraph"/>
                  <w:numPr>
                    <w:ilvl w:val="0"/>
                    <w:numId w:val="21"/>
                  </w:numPr>
                  <w:rPr>
                    <w:rFonts w:cstheme="minorHAnsi"/>
                    <w:color w:val="000000" w:themeColor="text1"/>
                    <w:sz w:val="24"/>
                    <w:szCs w:val="24"/>
                  </w:rPr>
                </w:pPr>
                <w:r w:rsidRPr="00C9755D">
                  <w:rPr>
                    <w:rFonts w:cstheme="minorHAnsi"/>
                    <w:color w:val="000000" w:themeColor="text1"/>
                    <w:sz w:val="24"/>
                    <w:szCs w:val="24"/>
                  </w:rPr>
                  <w:t xml:space="preserve">ELE 103 – Distributed Energy Resource Innovation and Solutions </w:t>
                </w:r>
              </w:p>
              <w:p w:rsidR="00547F9A" w:rsidP="00547F9A">
                <w:pPr>
                  <w:rPr>
                    <w:rFonts w:cstheme="minorHAnsi"/>
                    <w:color w:val="000000" w:themeColor="text1"/>
                  </w:rPr>
                </w:pPr>
                <w:r w:rsidRPr="00F41382">
                  <w:rPr>
                    <w:rFonts w:cstheme="minorHAnsi"/>
                    <w:color w:val="000000" w:themeColor="text1"/>
                  </w:rPr>
                  <w:t xml:space="preserve">Developing and deploying Distributed Energy Resources (DERs) on the grid are key elements in </w:t>
                </w:r>
                <w:r>
                  <w:rPr>
                    <w:rFonts w:cstheme="minorHAnsi"/>
                    <w:color w:val="000000" w:themeColor="text1"/>
                  </w:rPr>
                  <w:t xml:space="preserve">creating and </w:t>
                </w:r>
                <w:r w:rsidRPr="00F41382">
                  <w:rPr>
                    <w:rFonts w:cstheme="minorHAnsi"/>
                    <w:color w:val="000000" w:themeColor="text1"/>
                  </w:rPr>
                  <w:t>transforming local energy consumption, storage, and production</w:t>
                </w:r>
                <w:r>
                  <w:rPr>
                    <w:rFonts w:cstheme="minorHAnsi"/>
                    <w:color w:val="000000" w:themeColor="text1"/>
                  </w:rPr>
                  <w:t>.</w:t>
                </w:r>
                <w:r w:rsidRPr="00F41382">
                  <w:rPr>
                    <w:rFonts w:cstheme="minorHAnsi"/>
                    <w:color w:val="000000" w:themeColor="text1"/>
                  </w:rPr>
                  <w:t xml:space="preserve">  </w:t>
                </w:r>
                <w:r>
                  <w:rPr>
                    <w:rFonts w:cstheme="minorHAnsi"/>
                    <w:color w:val="000000" w:themeColor="text1"/>
                  </w:rPr>
                  <w:t>C</w:t>
                </w:r>
                <w:r w:rsidRPr="00F41382">
                  <w:rPr>
                    <w:rFonts w:cstheme="minorHAnsi"/>
                    <w:color w:val="000000" w:themeColor="text1"/>
                  </w:rPr>
                  <w:t>onsolidation of virtual and real energy production and curtailment in</w:t>
                </w:r>
                <w:r>
                  <w:rPr>
                    <w:rFonts w:cstheme="minorHAnsi"/>
                    <w:color w:val="000000" w:themeColor="text1"/>
                  </w:rPr>
                  <w:t>to</w:t>
                </w:r>
                <w:r w:rsidRPr="00F41382">
                  <w:rPr>
                    <w:rFonts w:cstheme="minorHAnsi"/>
                    <w:color w:val="000000" w:themeColor="text1"/>
                  </w:rPr>
                  <w:t xml:space="preserve"> a singular dispatchable renewable energy portfolio</w:t>
                </w:r>
                <w:r>
                  <w:rPr>
                    <w:rFonts w:cstheme="minorHAnsi"/>
                    <w:color w:val="000000" w:themeColor="text1"/>
                  </w:rPr>
                  <w:t xml:space="preserve"> (REP)</w:t>
                </w:r>
                <w:r w:rsidRPr="00F41382">
                  <w:rPr>
                    <w:rFonts w:cstheme="minorHAnsi"/>
                    <w:color w:val="000000" w:themeColor="text1"/>
                  </w:rPr>
                  <w:t xml:space="preserve"> will ensure </w:t>
                </w:r>
                <w:r>
                  <w:rPr>
                    <w:rFonts w:cstheme="minorHAnsi"/>
                    <w:color w:val="000000" w:themeColor="text1"/>
                  </w:rPr>
                  <w:t>a</w:t>
                </w:r>
                <w:r w:rsidRPr="00F41382">
                  <w:rPr>
                    <w:rFonts w:cstheme="minorHAnsi"/>
                    <w:bCs/>
                    <w:color w:val="000000" w:themeColor="text1"/>
                  </w:rPr>
                  <w:t xml:space="preserve"> dynamic, safe, and reliable operation of approximately 10% of Longmont’s overall energy consumption </w:t>
                </w:r>
                <w:r>
                  <w:rPr>
                    <w:rFonts w:cstheme="minorHAnsi"/>
                    <w:bCs/>
                    <w:color w:val="000000" w:themeColor="text1"/>
                  </w:rPr>
                  <w:t>facilitating</w:t>
                </w:r>
                <w:r w:rsidRPr="00F41382">
                  <w:rPr>
                    <w:rFonts w:cstheme="minorHAnsi"/>
                    <w:bCs/>
                    <w:color w:val="000000" w:themeColor="text1"/>
                  </w:rPr>
                  <w:t xml:space="preserve"> the transition to 100% renewable energy by year 2030.  </w:t>
                </w:r>
                <w:r>
                  <w:rPr>
                    <w:rFonts w:cstheme="minorHAnsi"/>
                    <w:bCs/>
                    <w:color w:val="000000" w:themeColor="text1"/>
                  </w:rPr>
                  <w:t xml:space="preserve">To support this goal, </w:t>
                </w:r>
                <w:r w:rsidRPr="00F41382">
                  <w:rPr>
                    <w:rFonts w:cstheme="minorHAnsi"/>
                    <w:color w:val="000000" w:themeColor="text1"/>
                  </w:rPr>
                  <w:t xml:space="preserve">LPC is proposing a new staff position, </w:t>
                </w:r>
                <w:r>
                  <w:rPr>
                    <w:rFonts w:cstheme="minorHAnsi"/>
                    <w:color w:val="000000" w:themeColor="text1"/>
                  </w:rPr>
                  <w:t xml:space="preserve">the </w:t>
                </w:r>
                <w:r w:rsidRPr="00F41382">
                  <w:rPr>
                    <w:rFonts w:cstheme="minorHAnsi"/>
                    <w:color w:val="000000" w:themeColor="text1"/>
                  </w:rPr>
                  <w:t>Electric Portfolio Development Manager</w:t>
                </w:r>
                <w:r>
                  <w:rPr>
                    <w:rFonts w:cstheme="minorHAnsi"/>
                    <w:color w:val="000000" w:themeColor="text1"/>
                  </w:rPr>
                  <w:t xml:space="preserve">, who will be responsible for coordinating, developing, and managing the renewable energy portfolio. </w:t>
                </w:r>
                <w:r>
                  <w:rPr>
                    <w:rFonts w:cstheme="minorHAnsi"/>
                    <w:color w:val="000000" w:themeColor="text1"/>
                  </w:rPr>
                  <w:t xml:space="preserve">This position is in addition to the positions listed in the current proposed 2022 City Budget.  </w:t>
                </w:r>
                <w:r w:rsidRPr="00547F9A">
                  <w:rPr>
                    <w:rFonts w:cstheme="minorHAnsi"/>
                    <w:color w:val="000000" w:themeColor="text1"/>
                  </w:rPr>
                  <w:t>The position description is being finalized.  Once the position is costed out based on market dat</w:t>
                </w:r>
                <w:r w:rsidR="002C4D8F">
                  <w:rPr>
                    <w:rFonts w:cstheme="minorHAnsi"/>
                    <w:color w:val="000000" w:themeColor="text1"/>
                  </w:rPr>
                  <w:t>a</w:t>
                </w:r>
                <w:r w:rsidRPr="00547F9A">
                  <w:rPr>
                    <w:rFonts w:cstheme="minorHAnsi"/>
                    <w:color w:val="000000" w:themeColor="text1"/>
                  </w:rPr>
                  <w:t>, we will update Council regarding this additional position.</w:t>
                </w:r>
              </w:p>
              <w:p w:rsidR="001A3075" w:rsidRPr="00547F9A" w:rsidP="00F70A44">
                <w:pPr>
                  <w:rPr>
                    <w:rFonts w:cstheme="minorHAnsi"/>
                    <w:color w:val="000000" w:themeColor="text1"/>
                  </w:rPr>
                </w:pPr>
              </w:p>
              <w:p w:rsidR="001A3075" w:rsidP="00F70A44">
                <w:pPr>
                  <w:rPr>
                    <w:b/>
                  </w:rPr>
                </w:pPr>
                <w:r w:rsidRPr="00EF32DF">
                  <w:rPr>
                    <w:b/>
                  </w:rPr>
                  <w:t>NEXTLIGHT BUDGET SUMMARY</w:t>
                </w:r>
              </w:p>
              <w:p w:rsidR="00EF32DF" w:rsidP="00EF32DF">
                <w:pPr>
                  <w:rPr>
                    <w:rFonts w:ascii="Calibri" w:hAnsi="Calibri"/>
                  </w:rPr>
                </w:pPr>
                <w:r>
                  <w:t xml:space="preserve">NextLight’s budget is focused on several key areas:  fortifying and future-proofing the network; delighting customers through improved customer experiences; growing the base through strategic partnerships; and lastly, beginning the evolution from a ‘fat dump pipe’ to enabling ‘smart homes’. </w:t>
                </w:r>
              </w:p>
              <w:p w:rsidR="00EF32DF" w:rsidP="00EF32DF"/>
              <w:p w:rsidR="00EF32DF" w:rsidP="00EF32DF">
                <w:r>
                  <w:t xml:space="preserve">Our network is our greatest asset and ensuring customers have reliable service today and into the future requires continued investment in software, hardware, backhaul transport and redundant connectivity.  We are ensuring our network is secure, reliable and our capacity is well in excess of demand.  </w:t>
                </w:r>
              </w:p>
              <w:p w:rsidR="00EF32DF" w:rsidP="00EF32DF"/>
              <w:p w:rsidR="00EF32DF" w:rsidP="00EF32DF">
                <w:r>
                  <w:t xml:space="preserve">We also strive to ensure we are ‘easy to do business with’ and thus are continually adding more functionality, more automation and self-service options for customers.  We continue to improve our English / Spanish language website providing useful information and tools for </w:t>
                </w:r>
                <w:r>
                  <w:t>our customers.  Chat service and more online sign-up capabilities are ‘next up’.  We will also continue to provide face-to-face personal service in English and Spanish for customers that prefer a friendly face and helping hand.</w:t>
                </w:r>
              </w:p>
              <w:p w:rsidR="00EF32DF" w:rsidP="00EF32DF"/>
              <w:p w:rsidR="00EF32DF" w:rsidP="00EF32DF">
                <w:r>
                  <w:t>Strategic partnerships are essential in our quest to reach every corner and household in Longmont.  We are working closely with St. Vrain Valley School District to create an auxiliary network for students as well as to market various programs to students to ensure everyone has the speeds they need to learn and excel.  We are also partnering with our friends down the street in Community Services and LHA to reach households that may be income-qualifying and eligible for deeply discounted or free internet access.   We also will maintain our marketing agency to help us efficiently reach our under-penetrated segments of the market.  Lastly, a new partnership with Streamwise Solutions will likely continue as there has been overwhelming interest in our custom TV solutions whereby we are helping customers cut the cord and save money.</w:t>
                </w:r>
              </w:p>
              <w:p w:rsidR="00EF32DF" w:rsidP="00EF32DF"/>
              <w:p w:rsidR="003872E5" w:rsidP="002C658B">
                <w:r>
                  <w:t>NextLight is evolving from being a ‘fat dumb pipe’ into enabling a lot of ‘smart home’ services.  We will continue to invest in technology and partners to help our residents evolve and find new ways to enjoy home entertainment, be more energy efficient and more.</w:t>
                </w:r>
              </w:p>
            </w:sdtContent>
          </w:sdt>
        </w:tc>
      </w:tr>
    </w:tbl>
    <w:p w:rsidR="003872E5"/>
    <w:tbl>
      <w:tblPr>
        <w:tblStyle w:val="TableGrid"/>
        <w:tblW w:w="0" w:type="auto"/>
        <w:tblLook w:val="04A0"/>
      </w:tblPr>
      <w:tblGrid>
        <w:gridCol w:w="9350"/>
      </w:tblGrid>
      <w:tr w:rsidTr="003872E5">
        <w:tblPrEx>
          <w:tblW w:w="0" w:type="auto"/>
          <w:tblLook w:val="04A0"/>
        </w:tblPrEx>
        <w:tc>
          <w:tcPr>
            <w:tcW w:w="9350" w:type="dxa"/>
          </w:tcPr>
          <w:p w:rsidR="00B06D43" w:rsidRPr="008E0B68">
            <w:r w:rsidRPr="008E0B68">
              <w:rPr>
                <w:b/>
                <w:bCs/>
              </w:rPr>
              <w:t>ATTACHMENTS:</w:t>
            </w:r>
            <w:r w:rsidRPr="008E0B68" w:rsidR="00AB09EC">
              <w:t xml:space="preserve"> </w:t>
            </w:r>
          </w:p>
          <w:p w:rsidR="00B77B78">
            <w:r w:rsidRPr="008E0B68">
              <w:t xml:space="preserve">Attachment I </w:t>
            </w:r>
            <w:r w:rsidRPr="008E0B68" w:rsidR="008E0B68">
              <w:t>–</w:t>
            </w:r>
            <w:r w:rsidRPr="008E0B68">
              <w:t xml:space="preserve"> </w:t>
            </w:r>
            <w:r>
              <w:t>Mosher Fund Ordinance</w:t>
            </w:r>
          </w:p>
          <w:p w:rsidR="008E1F8B" w:rsidRPr="008E0B68">
            <w:r>
              <w:t xml:space="preserve">Attachment J – </w:t>
            </w:r>
            <w:r w:rsidRPr="008E0B68" w:rsidR="008E0B68">
              <w:t>Budget Impacts of Positions and Pay Plan Corrections</w:t>
            </w:r>
          </w:p>
          <w:p w:rsidR="00BD1FF1" w:rsidRPr="008E0B68">
            <w:r w:rsidRPr="008E0B68">
              <w:t xml:space="preserve">Attachment </w:t>
            </w:r>
            <w:r w:rsidRPr="008E0B68" w:rsidR="008E1F8B">
              <w:t>J</w:t>
            </w:r>
            <w:r w:rsidRPr="008E0B68" w:rsidR="00821D36">
              <w:t xml:space="preserve"> </w:t>
            </w:r>
            <w:r w:rsidRPr="008E0B68">
              <w:t xml:space="preserve">– </w:t>
            </w:r>
            <w:r w:rsidRPr="008E0B68" w:rsidR="00AE0C14">
              <w:t xml:space="preserve">General Fund </w:t>
            </w:r>
            <w:r w:rsidRPr="008E0B68" w:rsidR="008E0B68">
              <w:t>O</w:t>
            </w:r>
            <w:r w:rsidRPr="008E0B68" w:rsidR="00AE0C14">
              <w:t xml:space="preserve">ne </w:t>
            </w:r>
            <w:r w:rsidRPr="008E0B68" w:rsidR="008E0B68">
              <w:t>T</w:t>
            </w:r>
            <w:r w:rsidRPr="008E0B68" w:rsidR="00AE0C14">
              <w:t xml:space="preserve">ime by </w:t>
            </w:r>
            <w:r w:rsidRPr="008E0B68" w:rsidR="008E0B68">
              <w:t>C</w:t>
            </w:r>
            <w:r w:rsidRPr="008E0B68" w:rsidR="00AE0C14">
              <w:t>ategory</w:t>
            </w:r>
          </w:p>
          <w:p w:rsidR="00035A46" w:rsidP="00993BA9">
            <w:r w:rsidRPr="008E0B68">
              <w:t xml:space="preserve">Attachment </w:t>
            </w:r>
            <w:r w:rsidRPr="008E0B68" w:rsidR="008E1F8B">
              <w:t>K</w:t>
            </w:r>
            <w:r w:rsidRPr="008E0B68">
              <w:t xml:space="preserve"> – Public Safety Fund</w:t>
            </w:r>
            <w:r>
              <w:t xml:space="preserve"> </w:t>
            </w:r>
            <w:r w:rsidR="008E0B68">
              <w:t>O</w:t>
            </w:r>
            <w:r>
              <w:t xml:space="preserve">ne </w:t>
            </w:r>
            <w:r w:rsidR="008E0B68">
              <w:t>T</w:t>
            </w:r>
            <w:r>
              <w:t xml:space="preserve">ime by </w:t>
            </w:r>
            <w:r w:rsidR="008E0B68">
              <w:t>C</w:t>
            </w:r>
            <w:r>
              <w:t>ategory</w:t>
            </w:r>
          </w:p>
        </w:tc>
      </w:tr>
    </w:tbl>
    <w:p w:rsidR="003872E5"/>
    <w:sectPr w:rsidSect="00AE0C14">
      <w:headerReference w:type="default" r:id="rId6"/>
      <w:footerReference w:type="default" r:id="rId7"/>
      <w:pgSz w:w="12240" w:h="15840"/>
      <w:pgMar w:top="1440" w:right="1440" w:bottom="1440" w:left="1440" w:header="720" w:footer="720" w:gutter="0"/>
      <w:pgNumType w:start="5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8691558"/>
      <w:docPartObj>
        <w:docPartGallery w:val="Page Numbers (Bottom of Page)"/>
        <w:docPartUnique/>
      </w:docPartObj>
    </w:sdtPr>
    <w:sdtEndPr>
      <w:rPr>
        <w:noProof/>
      </w:rPr>
    </w:sdtEndPr>
    <w:sdtContent>
      <w:p w:rsidR="006A6898">
        <w:pPr>
          <w:pStyle w:val="Footer"/>
          <w:jc w:val="center"/>
        </w:pPr>
        <w:r>
          <w:pict>
            <v:shapetype id="_x0000_t202" coordsize="21600,21600" o:spt="202" path="m,l,21600r21600,l21600,xe">
              <v:stroke joinstyle="miter"/>
              <v:path gradientshapeok="t" o:connecttype="rect"/>
            </v:shapetype>
            <v:shape id="_x0000_s2051" type="#_x0000_t202" style="width:1pt;height:1pt;margin-top:0;margin-left:2000pt;mso-position-horizontal:right;mso-position-horizontal-relative:right-margin-area;mso-position-vertical:bottom;mso-position-vertical-relative:bottom-margin-area;position:absolute;z-index:251659264">
              <v:textbox>
                <w:txbxContent>
                  <w:sdt>
                    <w:sdtPr>
                      <w:alias w:val="SystemDocumentId"/>
                      <w:tag w:val="SystemDocumentId"/>
                      <w:id w:val="1440226301"/>
                      <w:lock w:val="sdtContentLocked"/>
                      <w:placeholder>
                        <w:docPart w:val="AA11BB3F829D4A3F9D9FE6608146A1BF"/>
                      </w:placeholder>
                      <w:richText/>
                    </w:sdtPr>
                    <w:sdtContent>
                      <w:p>
                        <w:r>
                          <w:rPr>
                            <w:color w:val="008000"/>
                          </w:rPr>
                          <w:t>1234</w:t>
                        </w:r>
                      </w:p>
                    </w:sdtContent>
                  </w:sdt>
                </w:txbxContent>
              </v:textbox>
            </v:shape>
          </w:pict>
        </w:r>
        <w:r>
          <w:pict>
            <v:shape id="_x0000_s2052" type="#_x0000_t202" style="width:1pt;height:1pt;margin-top:0;margin-left:1749pt;mso-position-horizontal:right;mso-position-horizontal-relative:right-margin-area;mso-position-vertical:bottom;mso-position-vertical-relative:bottom-margin-area;position:absolute;z-index:251661312"/>
          </w:pict>
        </w:r>
        <w:r>
          <w:pict>
            <v:shape id="_x0000_s2053" type="#_x0000_t202" style="width:1pt;height:1pt;margin-top:0;margin-left:1648.6pt;mso-position-horizontal:right;mso-position-horizontal-relative:right-margin-area;mso-position-vertical:bottom;mso-position-vertical-relative:bottom-margin-area;position:absolute;z-index:251662336"/>
          </w:pict>
        </w:r>
        <w:r w:rsidR="00976404">
          <w:t>S-</w:t>
        </w:r>
        <w:r w:rsidR="00976404">
          <w:fldChar w:fldCharType="begin"/>
        </w:r>
        <w:r w:rsidR="00976404">
          <w:instrText xml:space="preserve"> PAGE   \* MERGEFORMAT </w:instrText>
        </w:r>
        <w:r w:rsidR="00976404">
          <w:fldChar w:fldCharType="separate"/>
        </w:r>
        <w:r>
          <w:rPr>
            <w:noProof/>
          </w:rPr>
          <w:t>51</w:t>
        </w:r>
        <w:r w:rsidR="00976404">
          <w:rPr>
            <w:noProof/>
          </w:rPr>
          <w:fldChar w:fldCharType="end"/>
        </w:r>
      </w:p>
    </w:sdtContent>
  </w:sdt>
  <w:p w:rsidR="00BD1FF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9EC" w:rsidP="00AB09EC">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0</wp:posOffset>
              </wp:positionV>
              <wp:extent cx="5019675" cy="419100"/>
              <wp:effectExtent l="0" t="0" r="9525"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9675" cy="4191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B09EC" w:rsidP="00AB09EC">
                          <w:pPr>
                            <w:pStyle w:val="Heading2"/>
                          </w:pPr>
                          <w:r>
                            <w:t>CITY COUNCIL COMMUNICATION</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49" type="#_x0000_t202" style="width:395.25pt;height:33pt;margin-top:0;margin-left:-7.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AB09EC" w:rsidP="00AB09EC">
                    <w:pPr>
                      <w:pStyle w:val="Heading2"/>
                    </w:pPr>
                    <w:r>
                      <w:t>CITY COUNCIL COMMUNICATION</w:t>
                    </w:r>
                  </w:p>
                </w:txbxContent>
              </v:textbox>
            </v:shape>
          </w:pict>
        </mc:Fallback>
      </mc:AlternateContent>
    </w:r>
    <w:r>
      <w:rPr>
        <w:noProof/>
      </w:rPr>
      <w:drawing>
        <wp:inline distT="0" distB="0" distL="0" distR="0">
          <wp:extent cx="837565" cy="680204"/>
          <wp:effectExtent l="0" t="0" r="635" b="5715"/>
          <wp:docPr id="6" name="Picture 6" descr="Live Vo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19848" name="Picture 1" descr="Live Vote Backgroun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6476" cy="695562"/>
                  </a:xfrm>
                  <a:prstGeom prst="rect">
                    <a:avLst/>
                  </a:prstGeom>
                  <a:noFill/>
                  <a:ln>
                    <a:noFill/>
                  </a:ln>
                </pic:spPr>
              </pic:pic>
            </a:graphicData>
          </a:graphic>
        </wp:inline>
      </w:drawing>
    </w:r>
    <w:r w:rsidRPr="00286337">
      <w:rPr>
        <w:noProof/>
        <w:color w:val="00206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345440</wp:posOffset>
              </wp:positionV>
              <wp:extent cx="4937760" cy="0"/>
              <wp:effectExtent l="0" t="19050" r="34290"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37760" cy="0"/>
                      </a:xfrm>
                      <a:prstGeom prst="line">
                        <a:avLst/>
                      </a:prstGeom>
                      <a:noFill/>
                      <a:ln w="38100">
                        <a:solidFill>
                          <a:schemeClr val="accent1">
                            <a:lumMod val="7500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2050" style="mso-height-percent:0;mso-height-relative:page;mso-width-percent:0;mso-width-relative:page;mso-wrap-distance-bottom:0;mso-wrap-distance-left:9pt;mso-wrap-distance-right:9pt;mso-wrap-distance-top:0;mso-wrap-style:square;position:absolute;visibility:visible;z-index:251664384" from="0,27.2pt" to="388.8pt,27.2pt" strokecolor="#2f5496" strokeweight="3pt"/>
          </w:pict>
        </mc:Fallback>
      </mc:AlternateContent>
    </w:r>
  </w:p>
  <w:p w:rsidR="00AB09EC" w:rsidRPr="00AB09EC" w:rsidP="00AB09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21816"/>
    <w:multiLevelType w:val="hybridMultilevel"/>
    <w:tmpl w:val="51521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51A33"/>
    <w:multiLevelType w:val="hybridMultilevel"/>
    <w:tmpl w:val="8E108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EF41E2"/>
    <w:multiLevelType w:val="hybridMultilevel"/>
    <w:tmpl w:val="5AD03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9F3FCB"/>
    <w:multiLevelType w:val="hybridMultilevel"/>
    <w:tmpl w:val="20C0F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5B630C"/>
    <w:multiLevelType w:val="hybridMultilevel"/>
    <w:tmpl w:val="0AC81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6B384A"/>
    <w:multiLevelType w:val="hybridMultilevel"/>
    <w:tmpl w:val="75CEF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0253B5"/>
    <w:multiLevelType w:val="hybridMultilevel"/>
    <w:tmpl w:val="05CA63E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34C6031"/>
    <w:multiLevelType w:val="hybridMultilevel"/>
    <w:tmpl w:val="1846B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630B10"/>
    <w:multiLevelType w:val="hybridMultilevel"/>
    <w:tmpl w:val="2028F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4C56A4"/>
    <w:multiLevelType w:val="hybridMultilevel"/>
    <w:tmpl w:val="458CA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2719DA"/>
    <w:multiLevelType w:val="hybridMultilevel"/>
    <w:tmpl w:val="04CEA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323738"/>
    <w:multiLevelType w:val="hybridMultilevel"/>
    <w:tmpl w:val="1D5A8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BA72C5"/>
    <w:multiLevelType w:val="hybridMultilevel"/>
    <w:tmpl w:val="7AC4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D473AA"/>
    <w:multiLevelType w:val="hybridMultilevel"/>
    <w:tmpl w:val="1BA84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FF2724"/>
    <w:multiLevelType w:val="hybridMultilevel"/>
    <w:tmpl w:val="0CB4A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5A6F9E"/>
    <w:multiLevelType w:val="hybridMultilevel"/>
    <w:tmpl w:val="AD122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B451ED"/>
    <w:multiLevelType w:val="hybridMultilevel"/>
    <w:tmpl w:val="6B24D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2A4451"/>
    <w:multiLevelType w:val="hybridMultilevel"/>
    <w:tmpl w:val="CDF6D674"/>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8">
    <w:nsid w:val="7B361FE0"/>
    <w:multiLevelType w:val="hybridMultilevel"/>
    <w:tmpl w:val="0804D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8"/>
  </w:num>
  <w:num w:numId="5">
    <w:abstractNumId w:val="2"/>
  </w:num>
  <w:num w:numId="6">
    <w:abstractNumId w:val="17"/>
  </w:num>
  <w:num w:numId="7">
    <w:abstractNumId w:val="7"/>
  </w:num>
  <w:num w:numId="8">
    <w:abstractNumId w:val="6"/>
  </w:num>
  <w:num w:numId="9">
    <w:abstractNumId w:val="13"/>
  </w:num>
  <w:num w:numId="10">
    <w:abstractNumId w:val="4"/>
  </w:num>
  <w:num w:numId="11">
    <w:abstractNumId w:val="1"/>
  </w:num>
  <w:num w:numId="12">
    <w:abstractNumId w:val="18"/>
  </w:num>
  <w:num w:numId="13">
    <w:abstractNumId w:val="7"/>
  </w:num>
  <w:num w:numId="14">
    <w:abstractNumId w:val="17"/>
  </w:num>
  <w:num w:numId="15">
    <w:abstractNumId w:val="14"/>
  </w:num>
  <w:num w:numId="16">
    <w:abstractNumId w:val="15"/>
  </w:num>
  <w:num w:numId="17">
    <w:abstractNumId w:val="16"/>
  </w:num>
  <w:num w:numId="18">
    <w:abstractNumId w:val="3"/>
  </w:num>
  <w:num w:numId="19">
    <w:abstractNumId w:val="0"/>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C4"/>
    <w:rsid w:val="00002B7A"/>
    <w:rsid w:val="00021890"/>
    <w:rsid w:val="00035A46"/>
    <w:rsid w:val="0004409B"/>
    <w:rsid w:val="0005260A"/>
    <w:rsid w:val="00056F6A"/>
    <w:rsid w:val="000658AF"/>
    <w:rsid w:val="00086A2F"/>
    <w:rsid w:val="000A097F"/>
    <w:rsid w:val="000B0545"/>
    <w:rsid w:val="000B4B82"/>
    <w:rsid w:val="000D51AC"/>
    <w:rsid w:val="000E53F4"/>
    <w:rsid w:val="000F4A28"/>
    <w:rsid w:val="0010181A"/>
    <w:rsid w:val="00140DED"/>
    <w:rsid w:val="00175A77"/>
    <w:rsid w:val="00194C45"/>
    <w:rsid w:val="001970D5"/>
    <w:rsid w:val="001A3075"/>
    <w:rsid w:val="001A74CF"/>
    <w:rsid w:val="001B06D0"/>
    <w:rsid w:val="001B490C"/>
    <w:rsid w:val="001C6E7B"/>
    <w:rsid w:val="001D5726"/>
    <w:rsid w:val="001F6993"/>
    <w:rsid w:val="002025A1"/>
    <w:rsid w:val="00204801"/>
    <w:rsid w:val="002132F9"/>
    <w:rsid w:val="00215064"/>
    <w:rsid w:val="00234468"/>
    <w:rsid w:val="00235150"/>
    <w:rsid w:val="0026505D"/>
    <w:rsid w:val="00266A7B"/>
    <w:rsid w:val="00270C4A"/>
    <w:rsid w:val="00271E9C"/>
    <w:rsid w:val="002734A0"/>
    <w:rsid w:val="0027775C"/>
    <w:rsid w:val="00281820"/>
    <w:rsid w:val="002824F0"/>
    <w:rsid w:val="00285BC7"/>
    <w:rsid w:val="00291C1D"/>
    <w:rsid w:val="00292475"/>
    <w:rsid w:val="002C4D8F"/>
    <w:rsid w:val="002C658B"/>
    <w:rsid w:val="00304EC7"/>
    <w:rsid w:val="00305DE2"/>
    <w:rsid w:val="0032320C"/>
    <w:rsid w:val="00336319"/>
    <w:rsid w:val="00343532"/>
    <w:rsid w:val="00381B59"/>
    <w:rsid w:val="003872E5"/>
    <w:rsid w:val="00390C43"/>
    <w:rsid w:val="003B5EB0"/>
    <w:rsid w:val="003C450E"/>
    <w:rsid w:val="003C65DB"/>
    <w:rsid w:val="003D20CF"/>
    <w:rsid w:val="003E5820"/>
    <w:rsid w:val="003F781E"/>
    <w:rsid w:val="00410043"/>
    <w:rsid w:val="00413933"/>
    <w:rsid w:val="00417BBA"/>
    <w:rsid w:val="00441596"/>
    <w:rsid w:val="0048464E"/>
    <w:rsid w:val="004926CE"/>
    <w:rsid w:val="004A05AD"/>
    <w:rsid w:val="004A5860"/>
    <w:rsid w:val="004B3DFB"/>
    <w:rsid w:val="004B5AC8"/>
    <w:rsid w:val="004C59AE"/>
    <w:rsid w:val="004C711E"/>
    <w:rsid w:val="004E2324"/>
    <w:rsid w:val="004E50C9"/>
    <w:rsid w:val="004E694F"/>
    <w:rsid w:val="004F239C"/>
    <w:rsid w:val="004F7512"/>
    <w:rsid w:val="0053130A"/>
    <w:rsid w:val="00543942"/>
    <w:rsid w:val="00547F9A"/>
    <w:rsid w:val="00564D03"/>
    <w:rsid w:val="00572174"/>
    <w:rsid w:val="00590316"/>
    <w:rsid w:val="005918E4"/>
    <w:rsid w:val="005A3421"/>
    <w:rsid w:val="005B032B"/>
    <w:rsid w:val="005B4511"/>
    <w:rsid w:val="005B7A90"/>
    <w:rsid w:val="005C66A1"/>
    <w:rsid w:val="005D72E1"/>
    <w:rsid w:val="005E01E1"/>
    <w:rsid w:val="005E26E4"/>
    <w:rsid w:val="00603221"/>
    <w:rsid w:val="006266ED"/>
    <w:rsid w:val="0065306D"/>
    <w:rsid w:val="00656A80"/>
    <w:rsid w:val="00656B57"/>
    <w:rsid w:val="00670536"/>
    <w:rsid w:val="00675A4D"/>
    <w:rsid w:val="006838D9"/>
    <w:rsid w:val="0068554C"/>
    <w:rsid w:val="00697233"/>
    <w:rsid w:val="006A6898"/>
    <w:rsid w:val="006B1C7D"/>
    <w:rsid w:val="006B3ADA"/>
    <w:rsid w:val="006B47A3"/>
    <w:rsid w:val="006B5158"/>
    <w:rsid w:val="006B798E"/>
    <w:rsid w:val="006C29F4"/>
    <w:rsid w:val="006D2A8B"/>
    <w:rsid w:val="006D4089"/>
    <w:rsid w:val="006D5A81"/>
    <w:rsid w:val="006F02D8"/>
    <w:rsid w:val="006F0FA3"/>
    <w:rsid w:val="00700D72"/>
    <w:rsid w:val="007047C0"/>
    <w:rsid w:val="00730393"/>
    <w:rsid w:val="0078312E"/>
    <w:rsid w:val="007910B5"/>
    <w:rsid w:val="007B3CE4"/>
    <w:rsid w:val="007D53B8"/>
    <w:rsid w:val="007E3373"/>
    <w:rsid w:val="007E3C16"/>
    <w:rsid w:val="007F5BFA"/>
    <w:rsid w:val="007F6D45"/>
    <w:rsid w:val="008000B8"/>
    <w:rsid w:val="00816834"/>
    <w:rsid w:val="008168EB"/>
    <w:rsid w:val="00817F42"/>
    <w:rsid w:val="00821D36"/>
    <w:rsid w:val="00823EF7"/>
    <w:rsid w:val="00824371"/>
    <w:rsid w:val="00832776"/>
    <w:rsid w:val="0085631A"/>
    <w:rsid w:val="00866259"/>
    <w:rsid w:val="00882118"/>
    <w:rsid w:val="00897A61"/>
    <w:rsid w:val="008B1AF4"/>
    <w:rsid w:val="008B535D"/>
    <w:rsid w:val="008B7220"/>
    <w:rsid w:val="008C648D"/>
    <w:rsid w:val="008C7D26"/>
    <w:rsid w:val="008D1149"/>
    <w:rsid w:val="008D15B4"/>
    <w:rsid w:val="008D3828"/>
    <w:rsid w:val="008D3A4E"/>
    <w:rsid w:val="008E0B68"/>
    <w:rsid w:val="008E1F8B"/>
    <w:rsid w:val="008E4364"/>
    <w:rsid w:val="008E53C3"/>
    <w:rsid w:val="00905356"/>
    <w:rsid w:val="00910248"/>
    <w:rsid w:val="00911C29"/>
    <w:rsid w:val="009173CC"/>
    <w:rsid w:val="0094330E"/>
    <w:rsid w:val="00953D77"/>
    <w:rsid w:val="009630D3"/>
    <w:rsid w:val="0097247A"/>
    <w:rsid w:val="00974884"/>
    <w:rsid w:val="00976404"/>
    <w:rsid w:val="00977F2E"/>
    <w:rsid w:val="00993BA9"/>
    <w:rsid w:val="009B000C"/>
    <w:rsid w:val="009B71D2"/>
    <w:rsid w:val="009C7B38"/>
    <w:rsid w:val="009D5C97"/>
    <w:rsid w:val="009E430B"/>
    <w:rsid w:val="009F5654"/>
    <w:rsid w:val="00A126A3"/>
    <w:rsid w:val="00A310A9"/>
    <w:rsid w:val="00A52DA5"/>
    <w:rsid w:val="00A54C6B"/>
    <w:rsid w:val="00A62A8C"/>
    <w:rsid w:val="00A82DD3"/>
    <w:rsid w:val="00A83FBB"/>
    <w:rsid w:val="00A93225"/>
    <w:rsid w:val="00AA41F0"/>
    <w:rsid w:val="00AB09EC"/>
    <w:rsid w:val="00AB617C"/>
    <w:rsid w:val="00AD3333"/>
    <w:rsid w:val="00AD3FF6"/>
    <w:rsid w:val="00AE0C14"/>
    <w:rsid w:val="00AF5196"/>
    <w:rsid w:val="00B06D43"/>
    <w:rsid w:val="00B07E2B"/>
    <w:rsid w:val="00B20BE4"/>
    <w:rsid w:val="00B258B3"/>
    <w:rsid w:val="00B31B2D"/>
    <w:rsid w:val="00B37EEC"/>
    <w:rsid w:val="00B44593"/>
    <w:rsid w:val="00B51381"/>
    <w:rsid w:val="00B55614"/>
    <w:rsid w:val="00B77B78"/>
    <w:rsid w:val="00B77FF1"/>
    <w:rsid w:val="00B94091"/>
    <w:rsid w:val="00BA0BC4"/>
    <w:rsid w:val="00BA1B9C"/>
    <w:rsid w:val="00BB2F1C"/>
    <w:rsid w:val="00BB52E8"/>
    <w:rsid w:val="00BC0F52"/>
    <w:rsid w:val="00BC17D6"/>
    <w:rsid w:val="00BD1FF1"/>
    <w:rsid w:val="00BD44FE"/>
    <w:rsid w:val="00BD7928"/>
    <w:rsid w:val="00BE098C"/>
    <w:rsid w:val="00BE5CF9"/>
    <w:rsid w:val="00BE7A1D"/>
    <w:rsid w:val="00C02E19"/>
    <w:rsid w:val="00C330D4"/>
    <w:rsid w:val="00C37AC8"/>
    <w:rsid w:val="00C405BC"/>
    <w:rsid w:val="00C41C83"/>
    <w:rsid w:val="00C438D6"/>
    <w:rsid w:val="00C55A90"/>
    <w:rsid w:val="00C609C4"/>
    <w:rsid w:val="00C92061"/>
    <w:rsid w:val="00C9755D"/>
    <w:rsid w:val="00CA35E1"/>
    <w:rsid w:val="00CC0CA7"/>
    <w:rsid w:val="00CC2234"/>
    <w:rsid w:val="00CD082B"/>
    <w:rsid w:val="00CE23BD"/>
    <w:rsid w:val="00D22D73"/>
    <w:rsid w:val="00D36460"/>
    <w:rsid w:val="00D40076"/>
    <w:rsid w:val="00D44223"/>
    <w:rsid w:val="00D46A3B"/>
    <w:rsid w:val="00D523EC"/>
    <w:rsid w:val="00D66B92"/>
    <w:rsid w:val="00D74244"/>
    <w:rsid w:val="00D900BB"/>
    <w:rsid w:val="00D9468C"/>
    <w:rsid w:val="00DD1176"/>
    <w:rsid w:val="00DE0B13"/>
    <w:rsid w:val="00DE1375"/>
    <w:rsid w:val="00DE2D42"/>
    <w:rsid w:val="00DE3D4E"/>
    <w:rsid w:val="00DE7C8F"/>
    <w:rsid w:val="00DF6368"/>
    <w:rsid w:val="00E32DE4"/>
    <w:rsid w:val="00E40FF2"/>
    <w:rsid w:val="00E457F1"/>
    <w:rsid w:val="00E47CC5"/>
    <w:rsid w:val="00E52985"/>
    <w:rsid w:val="00E551BD"/>
    <w:rsid w:val="00E729DC"/>
    <w:rsid w:val="00E9123F"/>
    <w:rsid w:val="00EA2209"/>
    <w:rsid w:val="00EB206B"/>
    <w:rsid w:val="00EC3646"/>
    <w:rsid w:val="00EC627A"/>
    <w:rsid w:val="00EF32DF"/>
    <w:rsid w:val="00EF43B4"/>
    <w:rsid w:val="00F05E02"/>
    <w:rsid w:val="00F067C0"/>
    <w:rsid w:val="00F113EC"/>
    <w:rsid w:val="00F3405D"/>
    <w:rsid w:val="00F41382"/>
    <w:rsid w:val="00F42CCE"/>
    <w:rsid w:val="00F430C8"/>
    <w:rsid w:val="00F54EB7"/>
    <w:rsid w:val="00F66427"/>
    <w:rsid w:val="00F70A44"/>
    <w:rsid w:val="00F872B4"/>
    <w:rsid w:val="00F977CF"/>
    <w:rsid w:val="00FA338D"/>
    <w:rsid w:val="00FD28E2"/>
    <w:rsid w:val="00FD5612"/>
    <w:rsid w:val="00FF63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BC36B80-F943-4926-92C1-A04A0270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AF"/>
    <w:pPr>
      <w:spacing w:after="0" w:line="240" w:lineRule="auto"/>
    </w:pPr>
    <w:rPr>
      <w:rFonts w:asciiTheme="minorHAnsi" w:hAnsiTheme="minorHAnsi"/>
    </w:rPr>
  </w:style>
  <w:style w:type="paragraph" w:styleId="Heading2">
    <w:name w:val="heading 2"/>
    <w:basedOn w:val="Normal"/>
    <w:next w:val="Normal"/>
    <w:link w:val="Heading2Char"/>
    <w:qFormat/>
    <w:rsid w:val="00AB09EC"/>
    <w:pPr>
      <w:keepNext/>
      <w:outlineLvl w:val="1"/>
    </w:pPr>
    <w:rPr>
      <w:rFonts w:eastAsia="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17F42"/>
    <w:rPr>
      <w:rFonts w:ascii="Calibri" w:hAnsi="Calibri"/>
      <w:b/>
      <w:i/>
      <w:sz w:val="32"/>
    </w:rPr>
  </w:style>
  <w:style w:type="character" w:customStyle="1" w:styleId="CCTACommitteeName">
    <w:name w:val="CCTA_CommitteeName"/>
    <w:basedOn w:val="DefaultParagraphFont"/>
    <w:uiPriority w:val="1"/>
    <w:rsid w:val="008D15B4"/>
    <w:rPr>
      <w:rFonts w:ascii="Calibri" w:hAnsi="Calibri"/>
      <w:b w:val="0"/>
      <w:i/>
      <w:sz w:val="32"/>
    </w:rPr>
  </w:style>
  <w:style w:type="character" w:customStyle="1" w:styleId="Subject">
    <w:name w:val="Subject"/>
    <w:basedOn w:val="DefaultParagraphFont"/>
    <w:uiPriority w:val="1"/>
    <w:rsid w:val="00BD7928"/>
    <w:rPr>
      <w:rFonts w:ascii="Calibri" w:hAnsi="Calibri"/>
      <w:sz w:val="22"/>
    </w:rPr>
  </w:style>
  <w:style w:type="table" w:styleId="TableGrid">
    <w:name w:val="Table Grid"/>
    <w:basedOn w:val="TableNormal"/>
    <w:uiPriority w:val="39"/>
    <w:rsid w:val="00BA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BC4"/>
    <w:rPr>
      <w:color w:val="808080"/>
    </w:rPr>
  </w:style>
  <w:style w:type="character" w:customStyle="1" w:styleId="CCTA">
    <w:name w:val="CCTA"/>
    <w:basedOn w:val="DefaultParagraphFont"/>
    <w:uiPriority w:val="1"/>
    <w:rsid w:val="00BA0BC4"/>
    <w:rPr>
      <w:rFonts w:asciiTheme="minorHAnsi" w:hAnsiTheme="minorHAnsi"/>
      <w:sz w:val="24"/>
    </w:rPr>
  </w:style>
  <w:style w:type="paragraph" w:styleId="Header">
    <w:name w:val="header"/>
    <w:basedOn w:val="Normal"/>
    <w:link w:val="HeaderChar"/>
    <w:unhideWhenUsed/>
    <w:rsid w:val="00AB09EC"/>
    <w:pPr>
      <w:tabs>
        <w:tab w:val="center" w:pos="4680"/>
        <w:tab w:val="right" w:pos="9360"/>
      </w:tabs>
    </w:pPr>
  </w:style>
  <w:style w:type="character" w:customStyle="1" w:styleId="HeaderChar">
    <w:name w:val="Header Char"/>
    <w:basedOn w:val="DefaultParagraphFont"/>
    <w:link w:val="Header"/>
    <w:rsid w:val="00AB09EC"/>
  </w:style>
  <w:style w:type="paragraph" w:styleId="Footer">
    <w:name w:val="footer"/>
    <w:basedOn w:val="Normal"/>
    <w:link w:val="FooterChar"/>
    <w:uiPriority w:val="99"/>
    <w:unhideWhenUsed/>
    <w:rsid w:val="00AB09EC"/>
    <w:pPr>
      <w:tabs>
        <w:tab w:val="center" w:pos="4680"/>
        <w:tab w:val="right" w:pos="9360"/>
      </w:tabs>
    </w:pPr>
  </w:style>
  <w:style w:type="character" w:customStyle="1" w:styleId="FooterChar">
    <w:name w:val="Footer Char"/>
    <w:basedOn w:val="DefaultParagraphFont"/>
    <w:link w:val="Footer"/>
    <w:uiPriority w:val="99"/>
    <w:rsid w:val="00AB09EC"/>
  </w:style>
  <w:style w:type="character" w:customStyle="1" w:styleId="Heading2Char">
    <w:name w:val="Heading 2 Char"/>
    <w:basedOn w:val="DefaultParagraphFont"/>
    <w:link w:val="Heading2"/>
    <w:rsid w:val="00AB09EC"/>
    <w:rPr>
      <w:rFonts w:eastAsia="Times New Roman" w:cs="Times New Roman"/>
      <w:b/>
      <w:sz w:val="40"/>
      <w:szCs w:val="20"/>
    </w:rPr>
  </w:style>
  <w:style w:type="character" w:customStyle="1" w:styleId="Bold">
    <w:name w:val="Bold"/>
    <w:basedOn w:val="DefaultParagraphFont"/>
    <w:uiPriority w:val="1"/>
    <w:rsid w:val="007D53B8"/>
    <w:rPr>
      <w:b/>
    </w:rPr>
  </w:style>
  <w:style w:type="paragraph" w:styleId="BalloonText">
    <w:name w:val="Balloon Text"/>
    <w:basedOn w:val="Normal"/>
    <w:link w:val="BalloonTextChar"/>
    <w:uiPriority w:val="99"/>
    <w:semiHidden/>
    <w:unhideWhenUsed/>
    <w:rsid w:val="006F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A3"/>
    <w:rPr>
      <w:rFonts w:ascii="Segoe UI" w:hAnsi="Segoe UI" w:cs="Segoe UI"/>
      <w:sz w:val="18"/>
      <w:szCs w:val="18"/>
    </w:rPr>
  </w:style>
  <w:style w:type="paragraph" w:customStyle="1" w:styleId="AA11BB3F829D4A3F9D9FE6608146A1BF">
    <w:name w:val="AA11BB3F829D4A3F9D9FE6608146A1BF"/>
    <w:rsid w:val="008000B8"/>
  </w:style>
  <w:style w:type="character" w:styleId="Hyperlink">
    <w:name w:val="Hyperlink"/>
    <w:rsid w:val="006A6898"/>
    <w:rPr>
      <w:color w:val="0000FF"/>
      <w:u w:val="single"/>
    </w:rPr>
  </w:style>
  <w:style w:type="character" w:styleId="FollowedHyperlink">
    <w:name w:val="FollowedHyperlink"/>
    <w:basedOn w:val="DefaultParagraphFont"/>
    <w:uiPriority w:val="99"/>
    <w:semiHidden/>
    <w:unhideWhenUsed/>
    <w:rsid w:val="006A6898"/>
    <w:rPr>
      <w:color w:val="954F72" w:themeColor="followedHyperlink"/>
      <w:u w:val="single"/>
    </w:rPr>
  </w:style>
  <w:style w:type="paragraph" w:customStyle="1" w:styleId="TxBrp16">
    <w:name w:val="TxBr_p16"/>
    <w:basedOn w:val="Normal"/>
    <w:rsid w:val="006A6898"/>
    <w:pPr>
      <w:widowControl w:val="0"/>
      <w:tabs>
        <w:tab w:val="left" w:pos="204"/>
      </w:tabs>
      <w:spacing w:line="240" w:lineRule="atLeast"/>
      <w:jc w:val="both"/>
    </w:pPr>
    <w:rPr>
      <w:rFonts w:ascii="Times New Roman" w:eastAsia="Times New Roman" w:hAnsi="Times New Roman" w:cs="Times New Roman"/>
      <w:szCs w:val="20"/>
    </w:rPr>
  </w:style>
  <w:style w:type="paragraph" w:customStyle="1" w:styleId="TxBrp18">
    <w:name w:val="TxBr_p18"/>
    <w:basedOn w:val="Normal"/>
    <w:rsid w:val="006A6898"/>
    <w:pPr>
      <w:widowControl w:val="0"/>
      <w:tabs>
        <w:tab w:val="left" w:pos="204"/>
      </w:tabs>
      <w:spacing w:line="240" w:lineRule="atLeast"/>
      <w:jc w:val="both"/>
    </w:pPr>
    <w:rPr>
      <w:rFonts w:ascii="Times New Roman" w:eastAsia="Times New Roman" w:hAnsi="Times New Roman" w:cs="Times New Roman"/>
      <w:szCs w:val="20"/>
    </w:rPr>
  </w:style>
  <w:style w:type="paragraph" w:customStyle="1" w:styleId="TxBrp15">
    <w:name w:val="TxBr_p15"/>
    <w:basedOn w:val="Normal"/>
    <w:rsid w:val="00A82DD3"/>
    <w:pPr>
      <w:widowControl w:val="0"/>
      <w:tabs>
        <w:tab w:val="left" w:pos="204"/>
      </w:tabs>
      <w:spacing w:line="277" w:lineRule="atLeast"/>
      <w:jc w:val="both"/>
    </w:pPr>
    <w:rPr>
      <w:rFonts w:ascii="Times New Roman" w:eastAsia="Times New Roman" w:hAnsi="Times New Roman" w:cs="Times New Roman"/>
      <w:szCs w:val="20"/>
    </w:rPr>
  </w:style>
  <w:style w:type="paragraph" w:styleId="NormalWeb">
    <w:name w:val="Normal (Web)"/>
    <w:basedOn w:val="Normal"/>
    <w:rsid w:val="0086625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02E19"/>
    <w:rPr>
      <w:sz w:val="16"/>
      <w:szCs w:val="16"/>
    </w:rPr>
  </w:style>
  <w:style w:type="paragraph" w:styleId="CommentText">
    <w:name w:val="annotation text"/>
    <w:basedOn w:val="Normal"/>
    <w:link w:val="CommentTextChar"/>
    <w:uiPriority w:val="99"/>
    <w:semiHidden/>
    <w:unhideWhenUsed/>
    <w:rsid w:val="00C02E19"/>
    <w:rPr>
      <w:sz w:val="20"/>
      <w:szCs w:val="20"/>
    </w:rPr>
  </w:style>
  <w:style w:type="character" w:customStyle="1" w:styleId="CommentTextChar">
    <w:name w:val="Comment Text Char"/>
    <w:basedOn w:val="DefaultParagraphFont"/>
    <w:link w:val="CommentText"/>
    <w:uiPriority w:val="99"/>
    <w:semiHidden/>
    <w:rsid w:val="00C02E1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02E19"/>
    <w:rPr>
      <w:b/>
      <w:bCs/>
    </w:rPr>
  </w:style>
  <w:style w:type="character" w:customStyle="1" w:styleId="CommentSubjectChar">
    <w:name w:val="Comment Subject Char"/>
    <w:basedOn w:val="CommentTextChar"/>
    <w:link w:val="CommentSubject"/>
    <w:uiPriority w:val="99"/>
    <w:semiHidden/>
    <w:rsid w:val="00C02E19"/>
    <w:rPr>
      <w:rFonts w:asciiTheme="minorHAnsi" w:hAnsiTheme="minorHAnsi"/>
      <w:b/>
      <w:bCs/>
      <w:sz w:val="20"/>
      <w:szCs w:val="20"/>
    </w:rPr>
  </w:style>
  <w:style w:type="paragraph" w:styleId="ListParagraph">
    <w:name w:val="List Paragraph"/>
    <w:basedOn w:val="Normal"/>
    <w:uiPriority w:val="34"/>
    <w:qFormat/>
    <w:rsid w:val="008C648D"/>
    <w:pPr>
      <w:spacing w:after="160" w:line="259" w:lineRule="auto"/>
      <w:ind w:left="720"/>
      <w:contextualSpacing/>
    </w:pPr>
    <w:rPr>
      <w:rFonts w:ascii="Calibri" w:hAnsi="Calibri" w:cstheme="minorBidi"/>
      <w:color w:val="4D4D4D"/>
      <w:sz w:val="21"/>
      <w:szCs w:val="22"/>
    </w:rPr>
  </w:style>
  <w:style w:type="paragraph" w:customStyle="1" w:styleId="xmsonormal">
    <w:name w:val="x_msonormal"/>
    <w:basedOn w:val="Normal"/>
    <w:rsid w:val="00D36460"/>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D3646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022729FB-3F54-4374-B281-16D143A91481}"/>
      </w:docPartPr>
      <w:docPartBody>
        <w:p w:rsidR="00FD5612">
          <w:r w:rsidRPr="00271E9C">
            <w:rPr>
              <w:rStyle w:val="PlaceholderText"/>
            </w:rPr>
            <w:t>Click or tap here to enter text.</w:t>
          </w:r>
        </w:p>
      </w:docPartBody>
    </w:docPart>
    <w:docPart>
      <w:docPartPr>
        <w:name w:val="DCA6B3300535428DB6B2EAEE39A806BF"/>
        <w:category>
          <w:name w:val="General"/>
          <w:gallery w:val="placeholder"/>
        </w:category>
        <w:types>
          <w:type w:val="bbPlcHdr"/>
        </w:types>
        <w:behaviors>
          <w:behavior w:val="content"/>
        </w:behaviors>
        <w:guid w:val="{4BECABBB-3AAC-455E-9BFF-FB2D4BEE62DC}"/>
      </w:docPartPr>
      <w:docPartBody>
        <w:p w:rsidR="00590316" w:rsidP="008000B8">
          <w:pPr>
            <w:pStyle w:val="DCA6B3300535428DB6B2EAEE39A806BF"/>
          </w:pPr>
          <w:r w:rsidRPr="00271E9C">
            <w:rPr>
              <w:rStyle w:val="PlaceholderText"/>
            </w:rPr>
            <w:t>Click or tap here to enter text.</w:t>
          </w:r>
        </w:p>
      </w:docPartBody>
    </w:docPart>
    <w:docPart>
      <w:docPartPr>
        <w:name w:val="9DB9D7917BA640F1805B05353A5D5A4A"/>
        <w:category>
          <w:name w:val="General"/>
          <w:gallery w:val="placeholder"/>
        </w:category>
        <w:types>
          <w:type w:val="bbPlcHdr"/>
        </w:types>
        <w:behaviors>
          <w:behavior w:val="content"/>
        </w:behaviors>
        <w:guid w:val="{C4EA559E-0FB7-449F-964F-66BE26C0973C}"/>
      </w:docPartPr>
      <w:docPartBody>
        <w:p w:rsidR="00590316" w:rsidP="008000B8">
          <w:pPr>
            <w:pStyle w:val="9DB9D7917BA640F1805B05353A5D5A4A"/>
          </w:pPr>
          <w:r w:rsidRPr="00271E9C">
            <w:rPr>
              <w:rStyle w:val="PlaceholderText"/>
            </w:rPr>
            <w:t>Click or tap here to enter text.</w:t>
          </w:r>
        </w:p>
      </w:docPartBody>
    </w:docPart>
    <w:docPart>
      <w:docPartPr>
        <w:name w:val="AE5ADA41580E4C70A697A53E2FA677D6"/>
        <w:category>
          <w:name w:val="General"/>
          <w:gallery w:val="placeholder"/>
        </w:category>
        <w:types>
          <w:type w:val="bbPlcHdr"/>
        </w:types>
        <w:behaviors>
          <w:behavior w:val="content"/>
        </w:behaviors>
        <w:guid w:val="{E4F5C64F-3AB1-4B7D-A5D3-5E9BE82C24B2}"/>
      </w:docPartPr>
      <w:docPartBody>
        <w:p w:rsidR="00590316" w:rsidP="008000B8">
          <w:pPr>
            <w:pStyle w:val="AE5ADA41580E4C70A697A53E2FA677D6"/>
          </w:pPr>
          <w:r w:rsidRPr="00F430C8">
            <w:rPr>
              <w:rStyle w:val="PlaceholderText"/>
            </w:rPr>
            <w:t>Click or tap here to enter text.</w:t>
          </w:r>
        </w:p>
      </w:docPartBody>
    </w:docPart>
    <w:docPart>
      <w:docPartPr>
        <w:name w:val="AA11BB3F829D4A3F9D9FE6608146A1BF"/>
        <w:category>
          <w:name w:val="General"/>
          <w:gallery w:val="placeholder"/>
        </w:category>
        <w:types>
          <w:type w:val="bbPlcHdr"/>
        </w:types>
        <w:behaviors>
          <w:behavior w:val="content"/>
        </w:behaviors>
        <w:guid w:val="{9D87E81A-E3D8-46FB-9373-52564ED73A17}"/>
      </w:docPartPr>
      <w:docPartBody>
        <w:p w:rsidR="00590316" w:rsidP="008000B8">
          <w:pPr>
            <w:pStyle w:val="AA11BB3F829D4A3F9D9FE6608146A1BF"/>
          </w:pPr>
          <w:r w:rsidRPr="00F430C8">
            <w:rPr>
              <w:rStyle w:val="PlaceholderText"/>
            </w:rPr>
            <w:t>Click or tap here to enter text.</w:t>
          </w:r>
        </w:p>
      </w:docPartBody>
    </w:docPart>
    <w:docPart>
      <w:docPartPr>
        <w:name w:val="CDD429A2F6BC483CA0B961D2BD577D1B"/>
        <w:category>
          <w:name w:val="General"/>
          <w:gallery w:val="placeholder"/>
        </w:category>
        <w:types>
          <w:type w:val="bbPlcHdr"/>
        </w:types>
        <w:behaviors>
          <w:behavior w:val="content"/>
        </w:behaviors>
        <w:guid w:val="{F793A567-2006-4574-B120-20D26F7229AF}"/>
      </w:docPartPr>
      <w:docPartBody>
        <w:p w:rsidR="00590316" w:rsidP="008000B8">
          <w:pPr>
            <w:pStyle w:val="CDD429A2F6BC483CA0B961D2BD577D1B"/>
          </w:pPr>
          <w:r w:rsidRPr="00F430C8">
            <w:rPr>
              <w:rStyle w:val="PlaceholderText"/>
            </w:rPr>
            <w:t>Click or tap here to enter text.</w:t>
          </w:r>
        </w:p>
      </w:docPartBody>
    </w:docPart>
    <w:docPart>
      <w:docPartPr>
        <w:name w:val="8F3EBCCCAB8A4C0BA964C774AA6F6B43"/>
        <w:category>
          <w:name w:val="General"/>
          <w:gallery w:val="placeholder"/>
        </w:category>
        <w:types>
          <w:type w:val="bbPlcHdr"/>
        </w:types>
        <w:behaviors>
          <w:behavior w:val="content"/>
        </w:behaviors>
        <w:guid w:val="{9A95C0D8-41F0-46F4-97A1-FC35B8D0E387}"/>
      </w:docPartPr>
      <w:docPartBody>
        <w:p w:rsidR="00590316" w:rsidP="008000B8">
          <w:pPr>
            <w:pStyle w:val="8F3EBCCCAB8A4C0BA964C774AA6F6B43"/>
          </w:pPr>
          <w:r w:rsidRPr="00F430C8">
            <w:rPr>
              <w:rStyle w:val="PlaceholderText"/>
            </w:rPr>
            <w:t>Click or tap here to enter text.</w:t>
          </w:r>
        </w:p>
      </w:docPartBody>
    </w:docPart>
    <w:docPart>
      <w:docPartPr>
        <w:name w:val="F7B05EFF995D4430B4CF99F2B7C97767"/>
        <w:category>
          <w:name w:val="General"/>
          <w:gallery w:val="placeholder"/>
        </w:category>
        <w:types>
          <w:type w:val="bbPlcHdr"/>
        </w:types>
        <w:behaviors>
          <w:behavior w:val="content"/>
        </w:behaviors>
        <w:guid w:val="{443E7E4A-1121-4D78-A4E0-0D0BF542FAE8}"/>
      </w:docPartPr>
      <w:docPartBody>
        <w:p w:rsidR="00590316" w:rsidP="008000B8">
          <w:pPr>
            <w:pStyle w:val="F7B05EFF995D4430B4CF99F2B7C97767"/>
          </w:pPr>
          <w:r w:rsidRPr="00F430C8">
            <w:rPr>
              <w:rStyle w:val="PlaceholderText"/>
            </w:rPr>
            <w:t>Click or tap here to enter text.</w:t>
          </w:r>
        </w:p>
      </w:docPartBody>
    </w:docPart>
    <w:docPart>
      <w:docPartPr>
        <w:name w:val="35CB25CD5CC244AEB245FF230F5BF021"/>
        <w:category>
          <w:name w:val="General"/>
          <w:gallery w:val="placeholder"/>
        </w:category>
        <w:types>
          <w:type w:val="bbPlcHdr"/>
        </w:types>
        <w:behaviors>
          <w:behavior w:val="content"/>
        </w:behaviors>
        <w:guid w:val="{173FBC8C-2150-470A-932C-AA2A10866013}"/>
      </w:docPartPr>
      <w:docPartBody>
        <w:p w:rsidR="00B51381" w:rsidP="005B4511">
          <w:pPr>
            <w:pStyle w:val="35CB25CD5CC244AEB245FF230F5BF021"/>
          </w:pPr>
          <w:r w:rsidRPr="008E4364">
            <w:rPr>
              <w:rStyle w:val="PlaceholderText"/>
              <w:b/>
              <w:bCs/>
            </w:rPr>
            <w:t>.</w:t>
          </w:r>
        </w:p>
      </w:docPartBody>
    </w:docPart>
    <w:docPart>
      <w:docPartPr>
        <w:name w:val="188610B45CE740C78143A0E9940F3C93"/>
        <w:category>
          <w:name w:val="General"/>
          <w:gallery w:val="placeholder"/>
        </w:category>
        <w:types>
          <w:type w:val="bbPlcHdr"/>
        </w:types>
        <w:behaviors>
          <w:behavior w:val="content"/>
        </w:behaviors>
        <w:guid w:val="{7E74037C-5820-4F78-B267-6075F9F3CFBE}"/>
      </w:docPartPr>
      <w:docPartBody>
        <w:p w:rsidR="00BB52E8" w:rsidP="009C7B38">
          <w:pPr>
            <w:pStyle w:val="188610B45CE740C78143A0E9940F3C93"/>
          </w:pPr>
          <w:r w:rsidRPr="00F430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10"/>
    <w:rsid w:val="00032847"/>
    <w:rsid w:val="0011059A"/>
    <w:rsid w:val="00110AEE"/>
    <w:rsid w:val="001D2FBF"/>
    <w:rsid w:val="001D5A4B"/>
    <w:rsid w:val="002061CB"/>
    <w:rsid w:val="00327595"/>
    <w:rsid w:val="00590316"/>
    <w:rsid w:val="005B4511"/>
    <w:rsid w:val="005E4C3C"/>
    <w:rsid w:val="00623222"/>
    <w:rsid w:val="007A0EEA"/>
    <w:rsid w:val="007E19E0"/>
    <w:rsid w:val="008000B8"/>
    <w:rsid w:val="00811833"/>
    <w:rsid w:val="00817575"/>
    <w:rsid w:val="00854C96"/>
    <w:rsid w:val="008D7910"/>
    <w:rsid w:val="00913A6D"/>
    <w:rsid w:val="009C7B38"/>
    <w:rsid w:val="00A11447"/>
    <w:rsid w:val="00A734AC"/>
    <w:rsid w:val="00A86B40"/>
    <w:rsid w:val="00B321A4"/>
    <w:rsid w:val="00B51381"/>
    <w:rsid w:val="00BB52E8"/>
    <w:rsid w:val="00D51278"/>
    <w:rsid w:val="00E81AA0"/>
    <w:rsid w:val="00F51187"/>
    <w:rsid w:val="00FD5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B38"/>
    <w:rPr>
      <w:color w:val="808080"/>
    </w:rPr>
  </w:style>
  <w:style w:type="paragraph" w:customStyle="1" w:styleId="9BD7BB113A9F4BCE902E7644C52C6DE7">
    <w:name w:val="9BD7BB113A9F4BCE902E7644C52C6DE7"/>
    <w:rsid w:val="008D7910"/>
  </w:style>
  <w:style w:type="paragraph" w:customStyle="1" w:styleId="351716AEA1104759B8AB013D97926B3B">
    <w:name w:val="351716AEA1104759B8AB013D97926B3B"/>
    <w:rsid w:val="008D7910"/>
  </w:style>
  <w:style w:type="paragraph" w:customStyle="1" w:styleId="4E0AFE7E2B2B46008DE748F92BA1A69B">
    <w:name w:val="4E0AFE7E2B2B46008DE748F92BA1A69B"/>
    <w:rsid w:val="00FD5612"/>
    <w:rPr>
      <w:rFonts w:ascii="Arial" w:hAnsi="Arial" w:eastAsiaTheme="minorHAnsi" w:cs="Arial"/>
      <w:sz w:val="24"/>
      <w:szCs w:val="24"/>
    </w:rPr>
  </w:style>
  <w:style w:type="paragraph" w:customStyle="1" w:styleId="4E0AFE7E2B2B46008DE748F92BA1A69B1">
    <w:name w:val="4E0AFE7E2B2B46008DE748F92BA1A69B1"/>
    <w:rsid w:val="001D5A4B"/>
    <w:rPr>
      <w:rFonts w:ascii="Arial" w:hAnsi="Arial" w:eastAsiaTheme="minorHAnsi" w:cs="Arial"/>
      <w:sz w:val="24"/>
      <w:szCs w:val="24"/>
    </w:rPr>
  </w:style>
  <w:style w:type="paragraph" w:customStyle="1" w:styleId="A80C31F781F54F879E7BA0568A39E335">
    <w:name w:val="A80C31F781F54F879E7BA0568A39E335"/>
    <w:rsid w:val="0011059A"/>
    <w:rPr>
      <w:rFonts w:ascii="Arial" w:hAnsi="Arial" w:eastAsiaTheme="minorHAnsi" w:cs="Arial"/>
      <w:sz w:val="24"/>
      <w:szCs w:val="24"/>
    </w:rPr>
  </w:style>
  <w:style w:type="paragraph" w:customStyle="1" w:styleId="4E0AFE7E2B2B46008DE748F92BA1A69B2">
    <w:name w:val="4E0AFE7E2B2B46008DE748F92BA1A69B2"/>
    <w:rsid w:val="0011059A"/>
    <w:rPr>
      <w:rFonts w:ascii="Arial" w:hAnsi="Arial" w:eastAsiaTheme="minorHAnsi" w:cs="Arial"/>
      <w:sz w:val="24"/>
      <w:szCs w:val="24"/>
    </w:rPr>
  </w:style>
  <w:style w:type="paragraph" w:customStyle="1" w:styleId="5FD7317F403B4885BE9B9D60DE77CBD0">
    <w:name w:val="5FD7317F403B4885BE9B9D60DE77CBD0"/>
    <w:rsid w:val="005E4C3C"/>
  </w:style>
  <w:style w:type="paragraph" w:customStyle="1" w:styleId="818467F9B88B457EB3DA169103CE2FA2">
    <w:name w:val="818467F9B88B457EB3DA169103CE2FA2"/>
    <w:rsid w:val="005E4C3C"/>
  </w:style>
  <w:style w:type="paragraph" w:customStyle="1" w:styleId="A37D1413C1404374BAA6D1C05B8F8B54">
    <w:name w:val="A37D1413C1404374BAA6D1C05B8F8B54"/>
    <w:rsid w:val="005E4C3C"/>
  </w:style>
  <w:style w:type="paragraph" w:customStyle="1" w:styleId="1F8F0B26B26E4EBB8BB536FC397E3CDC">
    <w:name w:val="1F8F0B26B26E4EBB8BB536FC397E3CDC"/>
    <w:rsid w:val="005E4C3C"/>
  </w:style>
  <w:style w:type="paragraph" w:customStyle="1" w:styleId="30B788B3D52D42E1839AF26C9E98B7DB">
    <w:name w:val="30B788B3D52D42E1839AF26C9E98B7DB"/>
    <w:rsid w:val="005E4C3C"/>
  </w:style>
  <w:style w:type="paragraph" w:customStyle="1" w:styleId="656BE42AC8C54AD39922AB668F1B3B70">
    <w:name w:val="656BE42AC8C54AD39922AB668F1B3B70"/>
    <w:rsid w:val="005E4C3C"/>
  </w:style>
  <w:style w:type="paragraph" w:customStyle="1" w:styleId="76B2D4AF3AE64E52B130E8BC7510CAD8">
    <w:name w:val="76B2D4AF3AE64E52B130E8BC7510CAD8"/>
    <w:rsid w:val="005E4C3C"/>
  </w:style>
  <w:style w:type="paragraph" w:customStyle="1" w:styleId="711FD53FA1CD4363BC7EC56914C58176">
    <w:name w:val="711FD53FA1CD4363BC7EC56914C58176"/>
    <w:rsid w:val="005E4C3C"/>
  </w:style>
  <w:style w:type="paragraph" w:customStyle="1" w:styleId="BB3ED1736E8347298ECFDDE26899EA81">
    <w:name w:val="BB3ED1736E8347298ECFDDE26899EA81"/>
    <w:rsid w:val="005E4C3C"/>
  </w:style>
  <w:style w:type="paragraph" w:customStyle="1" w:styleId="8CFC48B1F3C141A2AB63E3870B06237C">
    <w:name w:val="8CFC48B1F3C141A2AB63E3870B06237C"/>
    <w:rsid w:val="005E4C3C"/>
  </w:style>
  <w:style w:type="paragraph" w:customStyle="1" w:styleId="9EBA77E070DE46D997FD6DC99D428823">
    <w:name w:val="9EBA77E070DE46D997FD6DC99D428823"/>
    <w:rsid w:val="005E4C3C"/>
  </w:style>
  <w:style w:type="paragraph" w:customStyle="1" w:styleId="C13583A8D3C34CA09C0173111C5620B9">
    <w:name w:val="C13583A8D3C34CA09C0173111C5620B9"/>
    <w:rsid w:val="005E4C3C"/>
  </w:style>
  <w:style w:type="paragraph" w:customStyle="1" w:styleId="9040943ACEE347958332D7F571A5424C">
    <w:name w:val="9040943ACEE347958332D7F571A5424C"/>
    <w:rsid w:val="005E4C3C"/>
  </w:style>
  <w:style w:type="paragraph" w:customStyle="1" w:styleId="8D49FE6BF3ED45819305ACA1766237B1">
    <w:name w:val="8D49FE6BF3ED45819305ACA1766237B1"/>
    <w:rsid w:val="00A734AC"/>
    <w:rPr>
      <w:rFonts w:ascii="Arial" w:hAnsi="Arial" w:eastAsiaTheme="minorHAnsi" w:cs="Arial"/>
      <w:sz w:val="24"/>
      <w:szCs w:val="24"/>
    </w:rPr>
  </w:style>
  <w:style w:type="paragraph" w:customStyle="1" w:styleId="8D49FE6BF3ED45819305ACA1766237B11">
    <w:name w:val="8D49FE6BF3ED45819305ACA1766237B11"/>
    <w:rsid w:val="008000B8"/>
    <w:rPr>
      <w:rFonts w:ascii="Arial" w:hAnsi="Arial" w:eastAsiaTheme="minorHAnsi" w:cs="Arial"/>
      <w:sz w:val="24"/>
      <w:szCs w:val="24"/>
    </w:rPr>
  </w:style>
  <w:style w:type="paragraph" w:customStyle="1" w:styleId="DCA6B3300535428DB6B2EAEE39A806BF">
    <w:name w:val="DCA6B3300535428DB6B2EAEE39A806BF"/>
    <w:rsid w:val="008000B8"/>
  </w:style>
  <w:style w:type="paragraph" w:customStyle="1" w:styleId="E76E8C80094E45A68AAF4CB431D99D35">
    <w:name w:val="E76E8C80094E45A68AAF4CB431D99D35"/>
    <w:rsid w:val="008000B8"/>
  </w:style>
  <w:style w:type="paragraph" w:customStyle="1" w:styleId="9DB9D7917BA640F1805B05353A5D5A4A">
    <w:name w:val="9DB9D7917BA640F1805B05353A5D5A4A"/>
    <w:rsid w:val="008000B8"/>
  </w:style>
  <w:style w:type="paragraph" w:customStyle="1" w:styleId="818C8305709544388FB8866E6D5AA441">
    <w:name w:val="818C8305709544388FB8866E6D5AA441"/>
    <w:rsid w:val="008000B8"/>
  </w:style>
  <w:style w:type="paragraph" w:customStyle="1" w:styleId="C952A3A28FB84B10A7D684AEF785AE4F">
    <w:name w:val="C952A3A28FB84B10A7D684AEF785AE4F"/>
    <w:rsid w:val="008000B8"/>
  </w:style>
  <w:style w:type="paragraph" w:customStyle="1" w:styleId="F871388739FE49E0B832345294808CCE">
    <w:name w:val="F871388739FE49E0B832345294808CCE"/>
    <w:rsid w:val="008000B8"/>
  </w:style>
  <w:style w:type="paragraph" w:customStyle="1" w:styleId="244FB15608D34D66BED84D7E5A1D03E3">
    <w:name w:val="244FB15608D34D66BED84D7E5A1D03E3"/>
    <w:rsid w:val="008000B8"/>
  </w:style>
  <w:style w:type="paragraph" w:customStyle="1" w:styleId="A9B23AF359FA4CABB9C0F949F79F33EE">
    <w:name w:val="A9B23AF359FA4CABB9C0F949F79F33EE"/>
    <w:rsid w:val="008000B8"/>
  </w:style>
  <w:style w:type="paragraph" w:customStyle="1" w:styleId="95B4A7F11D7F45D782D001FD53BEEA30">
    <w:name w:val="95B4A7F11D7F45D782D001FD53BEEA30"/>
    <w:rsid w:val="008000B8"/>
  </w:style>
  <w:style w:type="paragraph" w:customStyle="1" w:styleId="D147DBC82501433FA70B84ADF277ACFF">
    <w:name w:val="D147DBC82501433FA70B84ADF277ACFF"/>
    <w:rsid w:val="008000B8"/>
  </w:style>
  <w:style w:type="paragraph" w:customStyle="1" w:styleId="D89766DC7894434B91E62EB7CA7E4CFC">
    <w:name w:val="D89766DC7894434B91E62EB7CA7E4CFC"/>
    <w:rsid w:val="008000B8"/>
  </w:style>
  <w:style w:type="paragraph" w:customStyle="1" w:styleId="CBD5AE63A9DA48BFA4AA5CAC1BE2596C">
    <w:name w:val="CBD5AE63A9DA48BFA4AA5CAC1BE2596C"/>
    <w:rsid w:val="008000B8"/>
  </w:style>
  <w:style w:type="paragraph" w:customStyle="1" w:styleId="4B0EFFFD1DE74122BE652B870FA51E4B">
    <w:name w:val="4B0EFFFD1DE74122BE652B870FA51E4B"/>
    <w:rsid w:val="008000B8"/>
  </w:style>
  <w:style w:type="paragraph" w:customStyle="1" w:styleId="AE5ADA41580E4C70A697A53E2FA677D6">
    <w:name w:val="AE5ADA41580E4C70A697A53E2FA677D6"/>
    <w:rsid w:val="008000B8"/>
  </w:style>
  <w:style w:type="paragraph" w:customStyle="1" w:styleId="22BBD052BE324D45B5A6FEC77C8D9F46">
    <w:name w:val="22BBD052BE324D45B5A6FEC77C8D9F46"/>
    <w:rsid w:val="008000B8"/>
  </w:style>
  <w:style w:type="paragraph" w:customStyle="1" w:styleId="AA11BB3F829D4A3F9D9FE6608146A1BF">
    <w:name w:val="AA11BB3F829D4A3F9D9FE6608146A1BF"/>
    <w:rsid w:val="008000B8"/>
  </w:style>
  <w:style w:type="paragraph" w:customStyle="1" w:styleId="CDD429A2F6BC483CA0B961D2BD577D1B">
    <w:name w:val="CDD429A2F6BC483CA0B961D2BD577D1B"/>
    <w:rsid w:val="008000B8"/>
  </w:style>
  <w:style w:type="paragraph" w:customStyle="1" w:styleId="8F3EBCCCAB8A4C0BA964C774AA6F6B43">
    <w:name w:val="8F3EBCCCAB8A4C0BA964C774AA6F6B43"/>
    <w:rsid w:val="008000B8"/>
  </w:style>
  <w:style w:type="paragraph" w:customStyle="1" w:styleId="F7B05EFF995D4430B4CF99F2B7C97767">
    <w:name w:val="F7B05EFF995D4430B4CF99F2B7C97767"/>
    <w:rsid w:val="008000B8"/>
  </w:style>
  <w:style w:type="paragraph" w:customStyle="1" w:styleId="35CB25CD5CC244AEB245FF230F5BF021">
    <w:name w:val="35CB25CD5CC244AEB245FF230F5BF021"/>
    <w:rsid w:val="005B4511"/>
    <w:pPr>
      <w:spacing w:after="0" w:line="240" w:lineRule="auto"/>
    </w:pPr>
    <w:rPr>
      <w:rFonts w:eastAsiaTheme="minorHAnsi" w:cs="Arial"/>
      <w:sz w:val="24"/>
      <w:szCs w:val="24"/>
    </w:rPr>
  </w:style>
  <w:style w:type="paragraph" w:customStyle="1" w:styleId="188610B45CE740C78143A0E9940F3C93">
    <w:name w:val="188610B45CE740C78143A0E9940F3C93"/>
    <w:rsid w:val="009C7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1778</TotalTime>
  <Pages>21</Pages>
  <Words>8156</Words>
  <Characters>46492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kkeerthi24@gmail.com</dc:creator>
  <cp:lastModifiedBy>Teresa Molloy</cp:lastModifiedBy>
  <cp:revision>26</cp:revision>
  <dcterms:created xsi:type="dcterms:W3CDTF">2021-09-15T16:32:00Z</dcterms:created>
  <dcterms:modified xsi:type="dcterms:W3CDTF">2021-09-16T22:42:00Z</dcterms:modified>
</cp:coreProperties>
</file>